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E975" w14:textId="51DB96DC" w:rsidR="002E5065" w:rsidRPr="00845641" w:rsidRDefault="00845641" w:rsidP="009C4ABB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FFFFFF"/>
          <w:sz w:val="40"/>
          <w:szCs w:val="40"/>
          <w:lang w:eastAsia="pl-PL"/>
        </w:rPr>
      </w:pPr>
      <w:r w:rsidRPr="00845641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21F88C3" wp14:editId="1A41CB8D">
                <wp:simplePos x="0" y="0"/>
                <wp:positionH relativeFrom="column">
                  <wp:posOffset>-80484</wp:posOffset>
                </wp:positionH>
                <wp:positionV relativeFrom="paragraph">
                  <wp:posOffset>-41777</wp:posOffset>
                </wp:positionV>
                <wp:extent cx="5906135" cy="607325"/>
                <wp:effectExtent l="0" t="0" r="18415" b="215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135" cy="607325"/>
                        </a:xfrm>
                        <a:prstGeom prst="rect">
                          <a:avLst/>
                        </a:prstGeom>
                        <a:solidFill>
                          <a:srgbClr val="4F6228"/>
                        </a:solidFill>
                        <a:ln w="9525">
                          <a:solidFill>
                            <a:srgbClr val="CCE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0DAB" id="Prostokąt 1" o:spid="_x0000_s1026" style="position:absolute;margin-left:-6.35pt;margin-top:-3.3pt;width:465.05pt;height:4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" o:allowincell="f" fillcolor="#4f6228" strokecolor="#ccecff"/>
            </w:pict>
          </mc:Fallback>
        </mc:AlternateContent>
      </w:r>
      <w:r w:rsidR="009C4ABB">
        <w:rPr>
          <w:rFonts w:ascii="Times New Roman" w:eastAsia="Arial Unicode MS" w:hAnsi="Times New Roman" w:cs="Times New Roman"/>
          <w:b/>
          <w:bCs/>
          <w:color w:val="FFFFFF"/>
          <w:sz w:val="40"/>
          <w:szCs w:val="40"/>
          <w:lang w:eastAsia="pl-PL"/>
        </w:rPr>
        <w:t xml:space="preserve">S P R </w:t>
      </w:r>
      <w:r w:rsidR="002E5065" w:rsidRPr="00845641">
        <w:rPr>
          <w:rFonts w:ascii="Times New Roman" w:eastAsia="Arial Unicode MS" w:hAnsi="Times New Roman" w:cs="Times New Roman"/>
          <w:b/>
          <w:bCs/>
          <w:color w:val="FFFFFF"/>
          <w:sz w:val="40"/>
          <w:szCs w:val="40"/>
          <w:lang w:eastAsia="pl-PL"/>
        </w:rPr>
        <w:t>A W O Z D A N I E</w:t>
      </w:r>
    </w:p>
    <w:p w14:paraId="6C4EFB0D" w14:textId="77777777" w:rsidR="00C57B7F" w:rsidRPr="00845641" w:rsidRDefault="002E5065" w:rsidP="00C57B7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FFFFFF"/>
          <w:sz w:val="40"/>
          <w:szCs w:val="40"/>
          <w:lang w:eastAsia="pl-PL"/>
        </w:rPr>
      </w:pPr>
      <w:r w:rsidRPr="00845641">
        <w:rPr>
          <w:rFonts w:ascii="Times New Roman" w:eastAsia="Arial Unicode MS" w:hAnsi="Times New Roman" w:cs="Times New Roman"/>
          <w:b/>
          <w:bCs/>
          <w:color w:val="FFFFFF"/>
          <w:sz w:val="40"/>
          <w:szCs w:val="40"/>
          <w:lang w:eastAsia="pl-PL"/>
        </w:rPr>
        <w:t xml:space="preserve">R A D Y   N A D Z O R C Z E J </w:t>
      </w:r>
    </w:p>
    <w:p w14:paraId="2D0221DA" w14:textId="77777777" w:rsidR="002E5065" w:rsidRPr="00845641" w:rsidRDefault="002E5065" w:rsidP="002E506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pl-PL"/>
        </w:rPr>
      </w:pPr>
      <w:r w:rsidRPr="00845641">
        <w:rPr>
          <w:rFonts w:ascii="Times New Roman" w:eastAsia="Arial Unicode MS" w:hAnsi="Times New Roman" w:cs="Times New Roman"/>
          <w:b/>
          <w:bCs/>
          <w:sz w:val="36"/>
          <w:szCs w:val="36"/>
          <w:lang w:eastAsia="pl-PL"/>
        </w:rPr>
        <w:t xml:space="preserve">Banku Spółdzielczego w Gnieźnie </w:t>
      </w:r>
    </w:p>
    <w:p w14:paraId="45D9730C" w14:textId="77777777" w:rsidR="002E5065" w:rsidRPr="00845641" w:rsidRDefault="002E5065" w:rsidP="002E50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</w:pPr>
      <w:r w:rsidRPr="00845641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>z działalnoś</w:t>
      </w:r>
      <w:r w:rsidR="00857D01" w:rsidRPr="00845641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 xml:space="preserve">ci </w:t>
      </w:r>
      <w:r w:rsidR="00403528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>za 2020</w:t>
      </w:r>
      <w:r w:rsidRPr="00845641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 xml:space="preserve"> r.</w:t>
      </w:r>
    </w:p>
    <w:p w14:paraId="421F7ECF" w14:textId="77777777" w:rsidR="002E5065" w:rsidRPr="00845641" w:rsidRDefault="002E5065" w:rsidP="002E50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</w:pPr>
      <w:r w:rsidRPr="00845641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 xml:space="preserve"> na </w:t>
      </w:r>
      <w:r w:rsidR="00C57B7F" w:rsidRPr="00845641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 xml:space="preserve">Zebranie </w:t>
      </w:r>
      <w:r w:rsidR="0095180F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>Grupy Członkowskiej</w:t>
      </w:r>
      <w:r w:rsidRPr="00845641">
        <w:rPr>
          <w:rFonts w:ascii="Times New Roman" w:eastAsia="Calibri" w:hAnsi="Times New Roman" w:cs="Times New Roman"/>
          <w:b/>
          <w:bCs/>
          <w:sz w:val="36"/>
          <w:szCs w:val="36"/>
          <w:lang w:eastAsia="pl-PL"/>
        </w:rPr>
        <w:t xml:space="preserve">  </w:t>
      </w:r>
    </w:p>
    <w:p w14:paraId="4D5090CF" w14:textId="77777777" w:rsidR="002E5065" w:rsidRPr="004A653A" w:rsidRDefault="002E5065" w:rsidP="002E50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8"/>
          <w:szCs w:val="8"/>
          <w:lang w:eastAsia="pl-PL"/>
        </w:rPr>
      </w:pPr>
    </w:p>
    <w:p w14:paraId="26D02539" w14:textId="77777777" w:rsidR="002E5065" w:rsidRPr="000B0659" w:rsidRDefault="002E5065" w:rsidP="002E50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1A30D540" w14:textId="77777777" w:rsidR="002E5065" w:rsidRPr="00A57625" w:rsidRDefault="002E5065" w:rsidP="002E50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color w:val="4F6228"/>
          <w:sz w:val="24"/>
          <w:szCs w:val="24"/>
          <w:lang w:eastAsia="pl-PL"/>
        </w:rPr>
      </w:pPr>
      <w:r w:rsidRPr="00A57625">
        <w:rPr>
          <w:rFonts w:ascii="Times New Roman" w:eastAsia="Calibri" w:hAnsi="Times New Roman" w:cs="Times New Roman"/>
          <w:b/>
          <w:bCs/>
          <w:color w:val="4F6228"/>
          <w:sz w:val="24"/>
          <w:szCs w:val="24"/>
          <w:lang w:eastAsia="pl-PL"/>
        </w:rPr>
        <w:t xml:space="preserve">WPROWADZENIE </w:t>
      </w:r>
    </w:p>
    <w:p w14:paraId="5E71AE0C" w14:textId="77777777" w:rsidR="002E5065" w:rsidRPr="00845641" w:rsidRDefault="002E5065" w:rsidP="002E506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§ 20 pkt 4 Statutu Banku Spółdzielczego w Gnieźnie, którego tekst </w:t>
      </w:r>
      <w:r w:rsidR="00882B13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ujednolicony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</w:t>
      </w:r>
      <w:r w:rsidR="006E4D2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anowi załącznik do uchwały Nr </w:t>
      </w:r>
      <w:r w:rsidR="007A7A36">
        <w:rPr>
          <w:rFonts w:ascii="Times New Roman" w:eastAsia="Calibri" w:hAnsi="Times New Roman" w:cs="Times New Roman"/>
          <w:sz w:val="24"/>
          <w:szCs w:val="24"/>
          <w:lang w:eastAsia="pl-PL"/>
        </w:rPr>
        <w:t>58/2020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82B13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Zarządu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Banku Sp</w:t>
      </w:r>
      <w:r w:rsidR="006E4D2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ółdzielczego w Gnieźnie z dnia </w:t>
      </w:r>
      <w:r w:rsidR="007A7A36">
        <w:rPr>
          <w:rFonts w:ascii="Times New Roman" w:eastAsia="Calibri" w:hAnsi="Times New Roman" w:cs="Times New Roman"/>
          <w:sz w:val="24"/>
          <w:szCs w:val="24"/>
          <w:lang w:eastAsia="pl-PL"/>
        </w:rPr>
        <w:t>9 lipca 2020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r., Rada Nadzorcza składa coroczne sprawozdanie z działalności obejmującej okres sprawozdawczy </w:t>
      </w:r>
      <w:r w:rsidR="007A7A36">
        <w:rPr>
          <w:rFonts w:ascii="Times New Roman" w:eastAsia="Calibri" w:hAnsi="Times New Roman" w:cs="Times New Roman"/>
          <w:sz w:val="24"/>
          <w:szCs w:val="24"/>
          <w:lang w:eastAsia="pl-PL"/>
        </w:rPr>
        <w:t>od 1 stycznia do 31 grudnia 2020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14:paraId="17993233" w14:textId="11D690F8" w:rsidR="007F263C" w:rsidRPr="00997A27" w:rsidRDefault="00CE6AFE" w:rsidP="00EA4A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8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46B">
        <w:rPr>
          <w:rFonts w:ascii="Times New Roman" w:eastAsia="Calibri" w:hAnsi="Times New Roman" w:cs="Times New Roman"/>
          <w:sz w:val="24"/>
          <w:szCs w:val="24"/>
          <w:lang w:eastAsia="pl-PL"/>
        </w:rPr>
        <w:t>okresie od 1 stycznia do 31 grudnia 20</w:t>
      </w:r>
      <w:r w:rsidR="007A7A36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08346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Rada Nadzorcza pracowała w niezmienionym składzie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Członkowie Rady </w:t>
      </w:r>
      <w:r w:rsidR="00EA4A3A" w:rsidRPr="00EA4A3A">
        <w:rPr>
          <w:rFonts w:ascii="Times New Roman" w:eastAsia="Calibri" w:hAnsi="Times New Roman" w:cs="Times New Roman"/>
          <w:sz w:val="24"/>
          <w:szCs w:val="24"/>
          <w:lang w:eastAsia="pl-PL"/>
        </w:rPr>
        <w:t>spełnia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>li</w:t>
      </w:r>
      <w:r w:rsidR="00EA4A3A" w:rsidRPr="00EA4A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wymóg odpowiedniości zgodnie z Wytycznymi Europejskiego Urzędu Nadzoru Bankowego i Europejskiego Urzędu 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EA4A3A" w:rsidRPr="00EA4A3A">
        <w:rPr>
          <w:rFonts w:ascii="Times New Roman" w:eastAsia="Calibri" w:hAnsi="Times New Roman" w:cs="Times New Roman"/>
          <w:sz w:val="24"/>
          <w:szCs w:val="24"/>
          <w:lang w:eastAsia="pl-PL"/>
        </w:rPr>
        <w:t>adzoru Giełd i Papierów Wartościowych z dnia 21 marca 2018 r. (EBA/GL/2017/12)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co zostało stwierdzone podczas ubiegłorocznego Zebrania przedstawicieli </w:t>
      </w:r>
      <w:r w:rsidR="00321372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7A7A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podstawie </w:t>
      </w:r>
      <w:r w:rsidR="003213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złożonych oświadczeń przez poszczególnych członków Rady 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Nadzorczej </w:t>
      </w:r>
      <w:r w:rsidR="002B10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braku </w:t>
      </w:r>
      <w:r w:rsidR="000E1C49">
        <w:rPr>
          <w:rFonts w:ascii="Times New Roman" w:eastAsia="Calibri" w:hAnsi="Times New Roman" w:cs="Times New Roman"/>
          <w:sz w:val="24"/>
          <w:szCs w:val="24"/>
          <w:lang w:eastAsia="pl-PL"/>
        </w:rPr>
        <w:t>wystąpienia</w:t>
      </w:r>
      <w:r w:rsidR="00EC50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zmian w zakresie informacji przedłożonych do ostatniej oceny odpowiedniości dokonanej w 2019 r.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Ocena okresowa członków tego organu zostanie natomiast dokonana podczas t</w:t>
      </w:r>
      <w:r w:rsidR="00986210">
        <w:rPr>
          <w:rFonts w:ascii="Times New Roman" w:eastAsia="Calibri" w:hAnsi="Times New Roman" w:cs="Times New Roman"/>
          <w:sz w:val="24"/>
          <w:szCs w:val="24"/>
          <w:lang w:eastAsia="pl-PL"/>
        </w:rPr>
        <w:t>egoroczne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>go</w:t>
      </w:r>
      <w:r w:rsidR="009862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Zebranie Przedstawicieli.</w:t>
      </w:r>
    </w:p>
    <w:p w14:paraId="6B279A47" w14:textId="77777777" w:rsidR="002E5065" w:rsidRPr="00A57625" w:rsidRDefault="002E5065" w:rsidP="002E50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color w:val="4F6228"/>
          <w:sz w:val="24"/>
          <w:szCs w:val="24"/>
          <w:lang w:eastAsia="pl-PL"/>
        </w:rPr>
      </w:pPr>
      <w:r w:rsidRPr="00A57625">
        <w:rPr>
          <w:rFonts w:ascii="Times New Roman" w:eastAsia="Calibri" w:hAnsi="Times New Roman" w:cs="Times New Roman"/>
          <w:b/>
          <w:bCs/>
          <w:color w:val="4F6228"/>
          <w:sz w:val="24"/>
          <w:szCs w:val="24"/>
          <w:lang w:eastAsia="pl-PL"/>
        </w:rPr>
        <w:t xml:space="preserve">PODSTAWY PRAWNE  </w:t>
      </w:r>
    </w:p>
    <w:p w14:paraId="0F6F8764" w14:textId="1834B0FD" w:rsidR="002E5065" w:rsidRPr="000B0659" w:rsidRDefault="002E5065" w:rsidP="00EA4A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Podstawę prawną działania Rady Nadzorczej w okresie sprawozdawczym stanowiły przepisy powszechnie obowiązujące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postanowienia statutowe. Ponadto </w:t>
      </w:r>
      <w:r w:rsidRPr="000B0659">
        <w:rPr>
          <w:rFonts w:ascii="Times New Roman" w:eastAsia="Calibri" w:hAnsi="Times New Roman" w:cs="Times New Roman"/>
          <w:sz w:val="24"/>
          <w:szCs w:val="24"/>
          <w:lang w:eastAsia="pl-PL"/>
        </w:rPr>
        <w:t>Rada sprawowała nadzór z uwzględnieniem rekomendacji i zaleceń Komisji Nadzoru Finansowego oraz europejskich wytycznych</w:t>
      </w:r>
      <w:r w:rsidR="00E81372" w:rsidRPr="000B06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uwzględniając 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>założenia st</w:t>
      </w:r>
      <w:r w:rsidR="00E81372" w:rsidRPr="000B0659">
        <w:rPr>
          <w:rFonts w:ascii="Times New Roman" w:eastAsia="Calibri" w:hAnsi="Times New Roman" w:cs="Times New Roman"/>
          <w:sz w:val="24"/>
          <w:szCs w:val="24"/>
          <w:lang w:eastAsia="pl-PL"/>
        </w:rPr>
        <w:t>rategii działania oraz polityk i procedur wewnętrznych obowiązujących w banku. K</w:t>
      </w:r>
      <w:r w:rsidRPr="000B0659">
        <w:rPr>
          <w:rFonts w:ascii="Times New Roman" w:eastAsia="Calibri" w:hAnsi="Times New Roman" w:cs="Times New Roman"/>
          <w:sz w:val="24"/>
          <w:szCs w:val="24"/>
          <w:lang w:eastAsia="pl-PL"/>
        </w:rPr>
        <w:t>onkretne działania nadzorcze wyznaczone zostały w ramach plan</w:t>
      </w:r>
      <w:r w:rsidR="00E156B3">
        <w:rPr>
          <w:rFonts w:ascii="Times New Roman" w:eastAsia="Calibri" w:hAnsi="Times New Roman" w:cs="Times New Roman"/>
          <w:sz w:val="24"/>
          <w:szCs w:val="24"/>
          <w:lang w:eastAsia="pl-PL"/>
        </w:rPr>
        <w:t>ów pracy uchwalonych na rok 2020</w:t>
      </w:r>
      <w:r w:rsidRPr="000B065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F53EDE4" w14:textId="5542BF6E" w:rsidR="00D039E3" w:rsidRPr="00845641" w:rsidRDefault="002E5065" w:rsidP="009C4A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Działania nadzorcze Rady skorelowane były z założeniami strategii 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działania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banku oraz planu finansowego uchwalonego na okres sprawozdawczy</w:t>
      </w:r>
      <w:r w:rsidR="00B6618F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realizowane w taki sposób, aby urzeczywistniać realizację celów w kluczowych obszarach działania, w tym przestrzegać przyjętych zasad ładu korporacyjnego</w:t>
      </w:r>
      <w:r w:rsidR="00B6618F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dbać o </w:t>
      </w:r>
      <w:r w:rsidR="00E81372">
        <w:rPr>
          <w:rFonts w:ascii="Times New Roman" w:eastAsia="Calibri" w:hAnsi="Times New Roman" w:cs="Times New Roman"/>
          <w:sz w:val="24"/>
          <w:szCs w:val="24"/>
          <w:lang w:eastAsia="pl-PL"/>
        </w:rPr>
        <w:t>równoważn</w:t>
      </w:r>
      <w:r w:rsidR="00EA4A3A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E813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poziom </w:t>
      </w:r>
      <w:r w:rsidR="001D2E2A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B6618F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yzyka banku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 zakresie otoczenia prawnego miniony rok był 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szczególny w tym znaczeniu, że obok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kontynuacj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zmian zapoczątkowanych w poprzednich latach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zachodziły dynamiczne zmiany związane ze stanem epidemii i potrzebą wprowadzania prawnych rozwiązań służących przeciwdziałaniu jej skutkom. </w:t>
      </w:r>
    </w:p>
    <w:p w14:paraId="67777D61" w14:textId="77777777" w:rsidR="00855630" w:rsidRPr="00845641" w:rsidRDefault="00855630" w:rsidP="00723D0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11D152" w14:textId="77777777" w:rsidR="002E5065" w:rsidRPr="00A57625" w:rsidRDefault="002E5065" w:rsidP="002E50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color w:val="4F6228"/>
          <w:sz w:val="24"/>
          <w:szCs w:val="24"/>
          <w:lang w:eastAsia="pl-PL"/>
        </w:rPr>
      </w:pPr>
      <w:r w:rsidRPr="00A57625">
        <w:rPr>
          <w:rFonts w:ascii="Times New Roman" w:eastAsia="Calibri" w:hAnsi="Times New Roman" w:cs="Times New Roman"/>
          <w:b/>
          <w:bCs/>
          <w:color w:val="4F6228"/>
          <w:sz w:val="24"/>
          <w:szCs w:val="24"/>
          <w:lang w:eastAsia="pl-PL"/>
        </w:rPr>
        <w:lastRenderedPageBreak/>
        <w:t xml:space="preserve">ZAKRES NADZORU </w:t>
      </w:r>
    </w:p>
    <w:p w14:paraId="3C9823E3" w14:textId="56F40907" w:rsidR="002E5065" w:rsidRPr="00845641" w:rsidRDefault="002E5065" w:rsidP="002E50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W okresie sprawozdawczym Rad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Nadzorcz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realizowan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swoje zadania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przede wszystkim za pomocą środków nadzoru oraz okresowej oceny wszystkich kluczowych obszarów zarządzania bankiem. Sprawowany nadzór obejmował system zarządzania ryzykiem, system kontroli wewnętrznej, politykę wynagrodzeń, a także proces szacowania kapitału wewnętrznego i utrzymywania poziomu funduszy własnych na poziomie nie niższym niż oszacowany kapitał wewnętrzny banku. </w:t>
      </w:r>
    </w:p>
    <w:p w14:paraId="33A580ED" w14:textId="77777777" w:rsidR="002E5065" w:rsidRPr="00845641" w:rsidRDefault="002E5065" w:rsidP="002E50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W celu realizacji swoich zadań i sprawowania efektywnego nadzoru Rada Nadzorcza w szczególności:</w:t>
      </w:r>
    </w:p>
    <w:p w14:paraId="6F4FC62F" w14:textId="77777777" w:rsidR="00AE6B1D" w:rsidRPr="00845641" w:rsidRDefault="002E5065" w:rsidP="00761F4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zapewniała odpowiedni poziom zarządzania</w:t>
      </w:r>
      <w:r w:rsidR="006E4D2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272DADB" w14:textId="77777777" w:rsidR="002E5065" w:rsidRPr="00845641" w:rsidRDefault="002E5065" w:rsidP="00761F4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nadzorowała przestrzeganie przyjętej przez Zarząd strategii zarządzania bankiem,</w:t>
      </w:r>
    </w:p>
    <w:p w14:paraId="6B42DF0B" w14:textId="77777777" w:rsidR="006C2F45" w:rsidRPr="00845641" w:rsidRDefault="002E5065" w:rsidP="00761F4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monitorowała skuteczność czynności wykonywanych przez członków Zarządu w związku z realizacją ich zadań w zakresie systemu zarządzania</w:t>
      </w:r>
      <w:r w:rsidR="006C2F45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7F73A0E1" w14:textId="77777777" w:rsidR="002E5065" w:rsidRPr="00845641" w:rsidRDefault="002E5065" w:rsidP="00761F4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nadzorowała przestrzeganie w banku planów, polityk i procedur. </w:t>
      </w:r>
    </w:p>
    <w:p w14:paraId="11EFC98F" w14:textId="550AB263" w:rsidR="007F263C" w:rsidRDefault="002E5065" w:rsidP="00723D0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okresie sprawozdawczym, Rada określała ogólny poziom akceptowalnego ryzyka oraz monitorowała poprzez okresową ocenę apetyt na ryzyko i przestrzeganie przez Zarząd wyznaczonych limitów ograniczających to ryzyko. Okresowej analizie i ocenie podlegała także sytuacja finansowa banku oraz jakość zarządzania w kontekście wyników przeprowadzonych kontroli zewnętrznych i 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wewnętrznych.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Rada wypełniała swoje funkcje nadzorcze z uwzględnieniem </w:t>
      </w:r>
      <w:r w:rsidR="002C10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długoterminowych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celów strategicznych </w:t>
      </w:r>
      <w:r w:rsidR="002C109B">
        <w:rPr>
          <w:rFonts w:ascii="Times New Roman" w:eastAsia="Calibri" w:hAnsi="Times New Roman" w:cs="Times New Roman"/>
          <w:sz w:val="24"/>
          <w:szCs w:val="24"/>
          <w:lang w:eastAsia="pl-PL"/>
        </w:rPr>
        <w:t>i kapitałowych, skonkretyzowanych w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poszczególnych obszarach działania banku </w:t>
      </w:r>
      <w:r w:rsidR="00FE0835">
        <w:rPr>
          <w:rFonts w:ascii="Times New Roman" w:eastAsia="Calibri" w:hAnsi="Times New Roman" w:cs="Times New Roman"/>
          <w:sz w:val="24"/>
          <w:szCs w:val="24"/>
          <w:lang w:eastAsia="pl-PL"/>
        </w:rPr>
        <w:t>w planie f</w:t>
      </w:r>
      <w:r w:rsidR="00FB7893">
        <w:rPr>
          <w:rFonts w:ascii="Times New Roman" w:eastAsia="Calibri" w:hAnsi="Times New Roman" w:cs="Times New Roman"/>
          <w:sz w:val="24"/>
          <w:szCs w:val="24"/>
          <w:lang w:eastAsia="pl-PL"/>
        </w:rPr>
        <w:t>inansowym na rok 2020</w:t>
      </w:r>
      <w:r w:rsidR="002C109B">
        <w:rPr>
          <w:rFonts w:ascii="Times New Roman" w:eastAsia="Calibri" w:hAnsi="Times New Roman" w:cs="Times New Roman"/>
          <w:sz w:val="24"/>
          <w:szCs w:val="24"/>
          <w:lang w:eastAsia="pl-PL"/>
        </w:rPr>
        <w:t>. Z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akres wytyczonych celów, </w:t>
      </w:r>
      <w:r w:rsidR="002C109B">
        <w:rPr>
          <w:rFonts w:ascii="Times New Roman" w:eastAsia="Calibri" w:hAnsi="Times New Roman" w:cs="Times New Roman"/>
          <w:sz w:val="24"/>
          <w:szCs w:val="24"/>
          <w:lang w:eastAsia="pl-PL"/>
        </w:rPr>
        <w:t>był korygowany o zmiany z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achodząc</w:t>
      </w:r>
      <w:r w:rsidR="002C109B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minionym roku w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otoczeniu makroekonomicznym i regulacyjnym banku. </w:t>
      </w:r>
    </w:p>
    <w:p w14:paraId="37142321" w14:textId="77777777" w:rsidR="00761F4E" w:rsidRPr="00761F4E" w:rsidRDefault="00761F4E" w:rsidP="002E50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14:paraId="1A947AF6" w14:textId="77777777" w:rsidR="002E5065" w:rsidRPr="00A57625" w:rsidRDefault="002E5065" w:rsidP="007F263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color w:val="4F6228"/>
          <w:sz w:val="24"/>
          <w:szCs w:val="24"/>
          <w:lang w:eastAsia="pl-PL"/>
        </w:rPr>
      </w:pPr>
      <w:r w:rsidRPr="00A57625">
        <w:rPr>
          <w:rFonts w:ascii="Times New Roman" w:eastAsia="Calibri" w:hAnsi="Times New Roman" w:cs="Times New Roman"/>
          <w:b/>
          <w:bCs/>
          <w:color w:val="4F6228"/>
          <w:sz w:val="24"/>
          <w:szCs w:val="24"/>
          <w:lang w:eastAsia="pl-PL"/>
        </w:rPr>
        <w:t xml:space="preserve">ZADANIA I DZIAŁANIA RADY  </w:t>
      </w:r>
    </w:p>
    <w:p w14:paraId="4D3DFE44" w14:textId="47020DB1" w:rsidR="008155E2" w:rsidRDefault="002E5065" w:rsidP="002E50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okresie sprawozdawczym Rada Nadzorcza odbyła </w:t>
      </w:r>
      <w:r w:rsidR="00FB7893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posiedzeń</w:t>
      </w:r>
      <w:r w:rsidR="000B0659">
        <w:rPr>
          <w:rFonts w:ascii="Times New Roman" w:eastAsia="Calibri" w:hAnsi="Times New Roman" w:cs="Times New Roman"/>
          <w:sz w:val="24"/>
          <w:szCs w:val="24"/>
          <w:lang w:eastAsia="pl-PL"/>
        </w:rPr>
        <w:t>, n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atomiast Prezydium Rady zebrało się </w:t>
      </w:r>
      <w:r w:rsidR="00BC35AA">
        <w:rPr>
          <w:rFonts w:ascii="Times New Roman" w:eastAsia="Calibri" w:hAnsi="Times New Roman" w:cs="Times New Roman"/>
          <w:sz w:val="24"/>
          <w:szCs w:val="24"/>
          <w:lang w:eastAsia="pl-PL"/>
        </w:rPr>
        <w:t>czterokrotnie</w:t>
      </w:r>
      <w:r w:rsidR="00D14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681228">
        <w:rPr>
          <w:rFonts w:ascii="Times New Roman" w:eastAsia="Calibri" w:hAnsi="Times New Roman" w:cs="Times New Roman"/>
          <w:sz w:val="24"/>
          <w:szCs w:val="24"/>
          <w:lang w:eastAsia="pl-PL"/>
        </w:rPr>
        <w:t>Ze względu na ogłoszenie stanu epidemii i wprowadzone ograniczenia przez polski rząd, Rada Nadzorcza dwukrotnie w 2020 roku odbyła posiedzenia w szcz</w:t>
      </w:r>
      <w:r w:rsidR="008155E2">
        <w:rPr>
          <w:rFonts w:ascii="Times New Roman" w:eastAsia="Calibri" w:hAnsi="Times New Roman" w:cs="Times New Roman"/>
          <w:sz w:val="24"/>
          <w:szCs w:val="24"/>
          <w:lang w:eastAsia="pl-PL"/>
        </w:rPr>
        <w:t>ególnym trybie „na odległość”, t</w:t>
      </w:r>
      <w:r w:rsidR="006812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j. bez formalnego zwołania ich w siedzibie banku z 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zastosowaniem </w:t>
      </w:r>
      <w:r w:rsidR="00681228">
        <w:rPr>
          <w:rFonts w:ascii="Times New Roman" w:eastAsia="Calibri" w:hAnsi="Times New Roman" w:cs="Times New Roman"/>
          <w:sz w:val="24"/>
          <w:szCs w:val="24"/>
          <w:lang w:eastAsia="pl-PL"/>
        </w:rPr>
        <w:t>głosowani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6812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korespondencyjn</w:t>
      </w:r>
      <w:r w:rsidR="009C4ABB"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="00681228">
        <w:rPr>
          <w:rFonts w:ascii="Times New Roman" w:eastAsia="Calibri" w:hAnsi="Times New Roman" w:cs="Times New Roman"/>
          <w:sz w:val="24"/>
          <w:szCs w:val="24"/>
          <w:lang w:eastAsia="pl-PL"/>
        </w:rPr>
        <w:t>. Pomimo tych nadzwyczajnych okoliczności zadowalającą aktywność członków Rady w pracach tego organu potwierdza frekwencja kształtująca się na poziomie powyżej 98% i stuprocentowa obecność członków Prezydium Rady w posiedzeniach.</w:t>
      </w:r>
      <w:r w:rsidR="006C2F45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E505ACE" w14:textId="726FD3C5" w:rsidR="008155E2" w:rsidRDefault="008155E2" w:rsidP="008155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Analizując przekrój tematyczny poszczególnych posiedzeń odbytych w roku 2020, można jednoznacznie stwierdzić, że nadzór miał charakter stały i obejmował wszystkie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kluczowe obszary działania banku. Rada podjęła wszystkie planowane działania, co pozwala ocenić 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pełne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 planu pracy założonego na 2020 rok. </w:t>
      </w:r>
    </w:p>
    <w:p w14:paraId="4BB88473" w14:textId="77777777" w:rsidR="002E5065" w:rsidRPr="00845641" w:rsidRDefault="002E5065" w:rsidP="002E50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Podczas ubiegłorocznych posiedzeń Rada podjęła </w:t>
      </w:r>
      <w:r w:rsidR="00BC35AA">
        <w:rPr>
          <w:rFonts w:ascii="Times New Roman" w:eastAsia="Calibri" w:hAnsi="Times New Roman" w:cs="Times New Roman"/>
          <w:sz w:val="24"/>
          <w:szCs w:val="24"/>
          <w:lang w:eastAsia="pl-PL"/>
        </w:rPr>
        <w:t>48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uchwał. Dokonując analizy aktywności Rady </w:t>
      </w:r>
      <w:r w:rsidR="00FE2142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 względem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ilości podejmowanych uchwał</w:t>
      </w:r>
      <w:r w:rsidR="00FE2142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E2142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porównaniu z </w:t>
      </w:r>
      <w:r w:rsidR="00B80A13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rokiem poprzednim</w:t>
      </w:r>
      <w:r w:rsidR="00FE2142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DA7F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stwierdza się </w:t>
      </w:r>
      <w:r w:rsidR="00723D0F">
        <w:rPr>
          <w:rFonts w:ascii="Times New Roman" w:eastAsia="Calibri" w:hAnsi="Times New Roman" w:cs="Times New Roman"/>
          <w:sz w:val="24"/>
          <w:szCs w:val="24"/>
          <w:lang w:eastAsia="pl-PL"/>
        </w:rPr>
        <w:t>tendencj</w:t>
      </w:r>
      <w:r w:rsidR="00DA7F38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723D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B7893">
        <w:rPr>
          <w:rFonts w:ascii="Times New Roman" w:eastAsia="Calibri" w:hAnsi="Times New Roman" w:cs="Times New Roman"/>
          <w:sz w:val="24"/>
          <w:szCs w:val="24"/>
          <w:lang w:eastAsia="pl-PL"/>
        </w:rPr>
        <w:t>wzrostową</w:t>
      </w:r>
      <w:r w:rsidR="00FE2142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. Zgo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dność w ocenie nadzorczej procesów zarządzania bankiem, członkowie Rady potwierdzali jednomyślnymi wynikami głosowania nad poszczególnymi uchwałami. </w:t>
      </w:r>
    </w:p>
    <w:p w14:paraId="6178D96E" w14:textId="77777777" w:rsidR="00AC6006" w:rsidRDefault="002E5065" w:rsidP="002E50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przedmiocie oceny zarządzania ryzykiem, systemu kontroli wewnętrznej, procesu szacowania kapitału wewnętrznego, sytuacji finansowej banku </w:t>
      </w:r>
      <w:r w:rsidR="002C109B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r w:rsidR="00723D0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oceny polityki wynagradzania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członków Zarządu, a także przeglądu funkcjonujących w banku procedur i systemów w procesie zarządzania, Rada podjęła w okresie sprawozdawczym </w:t>
      </w:r>
      <w:r w:rsidR="00BC35AA">
        <w:rPr>
          <w:rFonts w:ascii="Times New Roman" w:eastAsia="Calibri" w:hAnsi="Times New Roman" w:cs="Times New Roman"/>
          <w:sz w:val="24"/>
          <w:szCs w:val="24"/>
          <w:lang w:eastAsia="pl-PL"/>
        </w:rPr>
        <w:t>42</w:t>
      </w:r>
      <w:r w:rsidR="006E4D2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80517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odrębn</w:t>
      </w:r>
      <w:r w:rsidR="00FE2142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680517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stanowisk</w:t>
      </w:r>
      <w:r w:rsidR="00FE2142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680517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posiedzeniach Rady uczestniczyli przedstawiciele Zarządu banku oraz w zależności od potrzeby, pracownicy banku odpowiedzialni za merytoryczne obszary objęte porządkiem posiedzeń. </w:t>
      </w:r>
    </w:p>
    <w:p w14:paraId="37A40CFC" w14:textId="77777777" w:rsidR="00AC6006" w:rsidRDefault="002E5065" w:rsidP="005930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W okresie sprawozdawczym, Rada Nadzorcza realizowała funkcje nadzorcze i kontrolne w zakresie wszystkich obszarów działania banku objętych jej kompetencjami, w szczególności poprzez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dokonywanie okresowych ocen sytuacji finansowej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banku, adekwatności i skuteczności systemu kontroli wewnętrznej,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także zatwierdzanie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poziom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apetytu na ryzyko banku</w:t>
      </w:r>
      <w:r w:rsidR="00FE2142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, limit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>ów</w:t>
      </w:r>
      <w:r w:rsidR="00FE2142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ograniczających to ryzyko i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założe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>ń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testów warunków skrajnych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3CFDE499" w14:textId="77777777" w:rsidR="00AC6006" w:rsidRDefault="002E5065" w:rsidP="005930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okresie sprawozdawczym, </w:t>
      </w:r>
      <w:r w:rsidR="008C37B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wsparciu Komitetu Audytu,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Rada</w:t>
      </w:r>
      <w:r w:rsidR="008C37B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Nadzorcza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uchwaliła </w:t>
      </w:r>
      <w:r w:rsidR="008155E2">
        <w:rPr>
          <w:rFonts w:ascii="Times New Roman" w:eastAsia="Calibri" w:hAnsi="Times New Roman" w:cs="Times New Roman"/>
          <w:sz w:val="24"/>
          <w:szCs w:val="24"/>
          <w:lang w:eastAsia="pl-PL"/>
        </w:rPr>
        <w:t>plan finansowy a także dokonała jego niezbędnych korekt z uwagi na szczególną</w:t>
      </w:r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sytuację epidemiczną i jej skutki na wyniki finansowe banku. D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okonała 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również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podmiotu do badania sprawozdania finansowego oraz </w:t>
      </w:r>
      <w:r w:rsidR="008C37B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zatwierdziła nowe zasady i założenia </w:t>
      </w:r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>polityki</w:t>
      </w:r>
      <w:r w:rsidR="008C37B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rachunkowości</w:t>
      </w:r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banku. </w:t>
      </w:r>
    </w:p>
    <w:p w14:paraId="4410BD25" w14:textId="37F7D723" w:rsidR="00342716" w:rsidRDefault="00AC6006" w:rsidP="005930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2020 roku </w:t>
      </w:r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>Rada Nadzorcza zatwierdziła również założenia do</w:t>
      </w:r>
      <w:r w:rsidR="008C37B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Polityki </w:t>
      </w:r>
      <w:proofErr w:type="spellStart"/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>bancassurance</w:t>
      </w:r>
      <w:proofErr w:type="spellEnd"/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zasad prowadzenia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nowej </w:t>
      </w:r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działalności ubezpieczeniowej </w:t>
      </w:r>
      <w:r w:rsidR="008C37B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w banku.</w:t>
      </w:r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Cyklicznej ocenie podlegały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także 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>działania Zarządu podejmowane w obszarze zarządzania ryzykiem i adekwatnością kapitałową, funkcjonowani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systemu kontroli wewnętrznej, w tym także ryzyka braku zgodności oraz bezpieczeństwa informacji i środowiska teleinformacyjnego.</w:t>
      </w:r>
      <w:r w:rsidR="008C37B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504C4">
        <w:rPr>
          <w:rFonts w:ascii="Times New Roman" w:eastAsia="Calibri" w:hAnsi="Times New Roman" w:cs="Times New Roman"/>
          <w:sz w:val="24"/>
          <w:szCs w:val="24"/>
          <w:lang w:eastAsia="pl-PL"/>
        </w:rPr>
        <w:t>Ponadto Rada dokonała analizy funkcjonowania polityki wynagradzania w banku oraz stosowania zasad ładu korporacyjnego, a także oceny odpowiedniości członków Zarządu. Monitorowała również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realizację harmonogramów zaleceń wydanych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organ nadzoru. 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A0525B1" w14:textId="7283D82E" w:rsidR="00AC6006" w:rsidRDefault="00AC6006" w:rsidP="005930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7095798" w14:textId="77777777" w:rsidR="00AC6006" w:rsidRPr="005930C2" w:rsidRDefault="00AC6006" w:rsidP="005930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350DAE" w14:textId="77777777" w:rsidR="00761F4E" w:rsidRDefault="00761F4E" w:rsidP="00962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B5AB2DC" w14:textId="77777777" w:rsidR="000B0659" w:rsidRPr="00A57625" w:rsidRDefault="000B0659" w:rsidP="000B0659">
      <w:pPr>
        <w:pStyle w:val="Akapitzlist"/>
        <w:numPr>
          <w:ilvl w:val="0"/>
          <w:numId w:val="1"/>
        </w:numPr>
        <w:spacing w:after="0" w:line="360" w:lineRule="auto"/>
        <w:ind w:left="1077"/>
        <w:jc w:val="both"/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pl-PL"/>
        </w:rPr>
      </w:pPr>
      <w:r w:rsidRPr="00A57625"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pl-PL"/>
        </w:rPr>
        <w:lastRenderedPageBreak/>
        <w:t>DZIAŁALNOŚĆ KOMITETU AUDYTU</w:t>
      </w:r>
    </w:p>
    <w:p w14:paraId="3554C8ED" w14:textId="77777777" w:rsidR="00AA254F" w:rsidRDefault="005B26A9" w:rsidP="00AA25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0659">
        <w:rPr>
          <w:rFonts w:ascii="Times New Roman" w:eastAsia="Calibri" w:hAnsi="Times New Roman" w:cs="Times New Roman"/>
          <w:sz w:val="24"/>
          <w:szCs w:val="24"/>
          <w:lang w:eastAsia="pl-PL"/>
        </w:rPr>
        <w:t>W zakresie sprawozdawczości finansowej oraz systemu kontroli wewnętrznej i systemu zarządzania ryzykiem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0B06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Radę Nadzorczą wspiera</w:t>
      </w:r>
      <w:r w:rsidR="00D143FE">
        <w:rPr>
          <w:rFonts w:ascii="Times New Roman" w:eastAsia="Calibri" w:hAnsi="Times New Roman" w:cs="Times New Roman"/>
          <w:sz w:val="24"/>
          <w:szCs w:val="24"/>
          <w:lang w:eastAsia="pl-PL"/>
        </w:rPr>
        <w:t>ł</w:t>
      </w:r>
      <w:r w:rsidRPr="000B06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Komitet Audytu</w:t>
      </w:r>
      <w:r w:rsidR="00AC6006">
        <w:rPr>
          <w:rFonts w:ascii="Times New Roman" w:eastAsia="Calibri" w:hAnsi="Times New Roman" w:cs="Times New Roman"/>
          <w:sz w:val="24"/>
          <w:szCs w:val="24"/>
          <w:lang w:eastAsia="pl-PL"/>
        </w:rPr>
        <w:t>, który z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godnie z planem pracy 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>na 2020</w:t>
      </w:r>
      <w:r w:rsidR="00D143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odbył 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>pięć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protokołowanych posiedzeń</w:t>
      </w:r>
      <w:r w:rsidR="00AA254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DA72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tym dwukrotnie z biegłym rewidentem. 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>Komitet wypełnił minimalny wymóg ilościowy posiedzeń planowany w okresie sprawozdawczym</w:t>
      </w:r>
      <w:r w:rsidR="00AA25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>mimo ogłoszonego stanu epidemii wszystkie posiedzenia odby</w:t>
      </w:r>
      <w:r w:rsidR="00AA25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 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siedzibie </w:t>
      </w:r>
      <w:r w:rsidR="00AA254F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anku w pełnym składzie osobowym oraz przy współudziale wiceprezesa ds. </w:t>
      </w:r>
      <w:r w:rsidR="00DA726C">
        <w:rPr>
          <w:rFonts w:ascii="Times New Roman" w:eastAsia="Calibri" w:hAnsi="Times New Roman" w:cs="Times New Roman"/>
          <w:sz w:val="24"/>
          <w:szCs w:val="24"/>
          <w:lang w:eastAsia="pl-PL"/>
        </w:rPr>
        <w:t>finansowych</w:t>
      </w:r>
      <w:r w:rsidR="005930C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B84F693" w14:textId="77777777" w:rsidR="00671B52" w:rsidRDefault="00AA254F" w:rsidP="00671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u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biegłoroczn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ej działalności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Komitet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Audytu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realiz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ował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swo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 zadania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>wsp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ierał 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funkcj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nadzorcz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Rady,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ucz</w:t>
      </w:r>
      <w:r w:rsidR="00E826E1">
        <w:rPr>
          <w:rFonts w:ascii="Times New Roman" w:eastAsia="Calibri" w:hAnsi="Times New Roman" w:cs="Times New Roman"/>
          <w:sz w:val="24"/>
          <w:szCs w:val="24"/>
          <w:lang w:eastAsia="pl-PL"/>
        </w:rPr>
        <w:t>estnicz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ąc w szczególności </w:t>
      </w:r>
      <w:r w:rsidR="00E826E1">
        <w:rPr>
          <w:rFonts w:ascii="Times New Roman" w:eastAsia="Calibri" w:hAnsi="Times New Roman" w:cs="Times New Roman"/>
          <w:sz w:val="24"/>
          <w:szCs w:val="24"/>
          <w:lang w:eastAsia="pl-PL"/>
        </w:rPr>
        <w:t>w procesie oceny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67363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="00E826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ytuacji finansowej banku </w:t>
      </w:r>
      <w:r w:rsidR="0044683D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czynnie uczestniczył w analizie rocznego sprawozdania finansowego i </w:t>
      </w:r>
      <w:r w:rsidR="0044683D">
        <w:rPr>
          <w:rFonts w:ascii="Times New Roman" w:eastAsia="Calibri" w:hAnsi="Times New Roman" w:cs="Times New Roman"/>
          <w:sz w:val="24"/>
          <w:szCs w:val="24"/>
          <w:lang w:eastAsia="pl-PL"/>
        </w:rPr>
        <w:t>procesie jego b</w:t>
      </w:r>
      <w:r w:rsidR="0044683D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adania </w:t>
      </w:r>
      <w:r w:rsidR="0044683D">
        <w:rPr>
          <w:rFonts w:ascii="Times New Roman" w:eastAsia="Calibri" w:hAnsi="Times New Roman" w:cs="Times New Roman"/>
          <w:sz w:val="24"/>
          <w:szCs w:val="24"/>
          <w:lang w:eastAsia="pl-PL"/>
        </w:rPr>
        <w:t>przez biegłego rewidenta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Członkowie Komitetu uczestniczyli także w procesie </w:t>
      </w:r>
      <w:r w:rsidRPr="00AA25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przeglądu, weryfikacji </w:t>
      </w:r>
      <w:r w:rsidR="00E826E1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oceny </w:t>
      </w:r>
      <w:r w:rsidR="00D67363">
        <w:rPr>
          <w:rFonts w:ascii="Times New Roman" w:eastAsia="Calibri" w:hAnsi="Times New Roman" w:cs="Times New Roman"/>
          <w:sz w:val="24"/>
          <w:szCs w:val="24"/>
          <w:lang w:eastAsia="pl-PL"/>
        </w:rPr>
        <w:t>skuteczności zarządzania ryzykiem i sprawozdawczości finansowej,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także </w:t>
      </w:r>
      <w:r w:rsidR="00671B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oceniali </w:t>
      </w:r>
      <w:r w:rsidR="00D67363">
        <w:rPr>
          <w:rFonts w:ascii="Times New Roman" w:hAnsi="Times New Roman" w:cs="Times New Roman"/>
          <w:sz w:val="24"/>
          <w:szCs w:val="24"/>
        </w:rPr>
        <w:t>zgodnoś</w:t>
      </w:r>
      <w:r w:rsidR="00671B52">
        <w:rPr>
          <w:rFonts w:ascii="Times New Roman" w:hAnsi="Times New Roman" w:cs="Times New Roman"/>
          <w:sz w:val="24"/>
          <w:szCs w:val="24"/>
        </w:rPr>
        <w:t>ć</w:t>
      </w:r>
      <w:r w:rsidR="00D67363">
        <w:rPr>
          <w:rFonts w:ascii="Times New Roman" w:hAnsi="Times New Roman" w:cs="Times New Roman"/>
          <w:sz w:val="24"/>
          <w:szCs w:val="24"/>
        </w:rPr>
        <w:t xml:space="preserve"> polityki banku w zakresie podejmowania ryzyka ze strategią i planem finansowym</w:t>
      </w:r>
      <w:r>
        <w:rPr>
          <w:rFonts w:ascii="Times New Roman" w:hAnsi="Times New Roman" w:cs="Times New Roman"/>
          <w:sz w:val="24"/>
          <w:szCs w:val="24"/>
        </w:rPr>
        <w:t xml:space="preserve">. Przedmiotem posiedzeń Komitetu były również </w:t>
      </w:r>
      <w:r w:rsidR="00653544">
        <w:rPr>
          <w:rFonts w:ascii="Times New Roman" w:hAnsi="Times New Roman" w:cs="Times New Roman"/>
          <w:sz w:val="24"/>
          <w:szCs w:val="24"/>
        </w:rPr>
        <w:t>wynik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653544">
        <w:rPr>
          <w:rFonts w:ascii="Times New Roman" w:hAnsi="Times New Roman" w:cs="Times New Roman"/>
          <w:sz w:val="24"/>
          <w:szCs w:val="24"/>
        </w:rPr>
        <w:t xml:space="preserve"> testowania pionowego i poziomego przestrzegania kluczowych mechanizmów kontrolnych,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544">
        <w:rPr>
          <w:rFonts w:ascii="Times New Roman" w:hAnsi="Times New Roman" w:cs="Times New Roman"/>
          <w:sz w:val="24"/>
          <w:szCs w:val="24"/>
        </w:rPr>
        <w:t>adekwatnoś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653544">
        <w:rPr>
          <w:rFonts w:ascii="Times New Roman" w:hAnsi="Times New Roman" w:cs="Times New Roman"/>
          <w:sz w:val="24"/>
          <w:szCs w:val="24"/>
        </w:rPr>
        <w:t xml:space="preserve"> i skutecznoś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653544">
        <w:rPr>
          <w:rFonts w:ascii="Times New Roman" w:hAnsi="Times New Roman" w:cs="Times New Roman"/>
          <w:sz w:val="24"/>
          <w:szCs w:val="24"/>
        </w:rPr>
        <w:t xml:space="preserve"> systemu kontroli wewnętrznej,</w:t>
      </w:r>
      <w:r>
        <w:rPr>
          <w:rFonts w:ascii="Times New Roman" w:hAnsi="Times New Roman" w:cs="Times New Roman"/>
          <w:sz w:val="24"/>
          <w:szCs w:val="24"/>
        </w:rPr>
        <w:t xml:space="preserve"> wyniki zidentyfikowanego ryzyka braku zgodności oraz </w:t>
      </w:r>
      <w:r w:rsidR="00671B52">
        <w:rPr>
          <w:rFonts w:ascii="Times New Roman" w:hAnsi="Times New Roman" w:cs="Times New Roman"/>
          <w:sz w:val="24"/>
          <w:szCs w:val="24"/>
        </w:rPr>
        <w:t xml:space="preserve">wyniki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53544">
        <w:rPr>
          <w:rFonts w:ascii="Times New Roman" w:hAnsi="Times New Roman" w:cs="Times New Roman"/>
          <w:sz w:val="24"/>
          <w:szCs w:val="24"/>
        </w:rPr>
        <w:t>estów warunków skrajnych wynikających z Grupowego Planu Systemu Ochrony SGB</w:t>
      </w:r>
      <w:r w:rsidR="0044683D">
        <w:rPr>
          <w:rFonts w:ascii="Times New Roman" w:hAnsi="Times New Roman" w:cs="Times New Roman"/>
          <w:sz w:val="24"/>
          <w:szCs w:val="24"/>
        </w:rPr>
        <w:t>.</w:t>
      </w:r>
      <w:r w:rsidR="00671B52">
        <w:rPr>
          <w:rFonts w:ascii="Times New Roman" w:hAnsi="Times New Roman" w:cs="Times New Roman"/>
          <w:sz w:val="24"/>
          <w:szCs w:val="24"/>
        </w:rPr>
        <w:t xml:space="preserve"> </w:t>
      </w:r>
      <w:r w:rsidR="00671B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</w:t>
      </w:r>
      <w:r w:rsidR="005B26A9" w:rsidRPr="00F34224">
        <w:rPr>
          <w:rFonts w:ascii="Times New Roman" w:eastAsia="Calibri" w:hAnsi="Times New Roman" w:cs="Times New Roman"/>
          <w:sz w:val="24"/>
          <w:szCs w:val="24"/>
          <w:lang w:eastAsia="pl-PL"/>
        </w:rPr>
        <w:t>Komitet Audytu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okresie sprawozdawczym </w:t>
      </w:r>
      <w:r w:rsidR="006535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dokonał oceny formalnej i merytorycznej </w:t>
      </w:r>
      <w:r w:rsidR="00653544">
        <w:rPr>
          <w:rFonts w:ascii="Times New Roman" w:hAnsi="Times New Roman" w:cs="Times New Roman"/>
          <w:sz w:val="24"/>
          <w:szCs w:val="24"/>
        </w:rPr>
        <w:t>oferty Związku Rewizyjnego Banków Spółdzielczych w Poznaniu na badanie sprawozdania finansowego za lata 202</w:t>
      </w:r>
      <w:r w:rsidR="00986210">
        <w:rPr>
          <w:rFonts w:ascii="Times New Roman" w:hAnsi="Times New Roman" w:cs="Times New Roman"/>
          <w:sz w:val="24"/>
          <w:szCs w:val="24"/>
        </w:rPr>
        <w:t>0-2021 oraz wydał rekomendację</w:t>
      </w:r>
      <w:r w:rsidR="00653544">
        <w:rPr>
          <w:rFonts w:ascii="Times New Roman" w:hAnsi="Times New Roman" w:cs="Times New Roman"/>
          <w:sz w:val="24"/>
          <w:szCs w:val="24"/>
        </w:rPr>
        <w:t xml:space="preserve"> w sprawie wyboru firmy audytorskiej, której </w:t>
      </w:r>
      <w:r w:rsidR="00671B52">
        <w:rPr>
          <w:rFonts w:ascii="Times New Roman" w:hAnsi="Times New Roman" w:cs="Times New Roman"/>
          <w:sz w:val="24"/>
          <w:szCs w:val="24"/>
        </w:rPr>
        <w:t>b</w:t>
      </w:r>
      <w:r w:rsidR="00653544">
        <w:rPr>
          <w:rFonts w:ascii="Times New Roman" w:hAnsi="Times New Roman" w:cs="Times New Roman"/>
          <w:sz w:val="24"/>
          <w:szCs w:val="24"/>
        </w:rPr>
        <w:t>ank mógłby powierzyć badanie sprawozdania finansowego.</w:t>
      </w:r>
      <w:r w:rsidR="00671B52">
        <w:rPr>
          <w:rFonts w:ascii="Times New Roman" w:hAnsi="Times New Roman" w:cs="Times New Roman"/>
          <w:sz w:val="24"/>
          <w:szCs w:val="24"/>
        </w:rPr>
        <w:t xml:space="preserve"> </w:t>
      </w:r>
      <w:r w:rsidR="00811A94">
        <w:rPr>
          <w:rFonts w:ascii="Times New Roman" w:hAnsi="Times New Roman" w:cs="Times New Roman"/>
          <w:sz w:val="24"/>
          <w:szCs w:val="24"/>
        </w:rPr>
        <w:tab/>
      </w:r>
    </w:p>
    <w:p w14:paraId="7C27684A" w14:textId="6447A0BB" w:rsidR="005B26A9" w:rsidRPr="00723D0F" w:rsidRDefault="00811A94" w:rsidP="0067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oraz zakres przedmiotowy posiedzeń Komitetu Audytu pozwala stwierdzić, że organ ten, mimo szczególnej sytuacji </w:t>
      </w:r>
      <w:r w:rsidR="00671B52">
        <w:rPr>
          <w:rFonts w:ascii="Times New Roman" w:hAnsi="Times New Roman" w:cs="Times New Roman"/>
          <w:sz w:val="24"/>
          <w:szCs w:val="24"/>
        </w:rPr>
        <w:t>związanej z epidemią</w:t>
      </w:r>
      <w:r>
        <w:rPr>
          <w:rFonts w:ascii="Times New Roman" w:hAnsi="Times New Roman" w:cs="Times New Roman"/>
          <w:sz w:val="24"/>
          <w:szCs w:val="24"/>
        </w:rPr>
        <w:t xml:space="preserve">, w okresie sprawozdawczym realizował sprawnie ustalone założenia pracy i wypełniał aktywnie przypisane funkcje.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Rekomendacje wydawane przez Komitet były </w:t>
      </w:r>
      <w:r w:rsidR="00671B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natomiast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uwzględniane przez 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Radę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podejmowaniu 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stosownych stanowisk i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uchwał. W 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ramach swoich prac, Komitet Audytu nie zidentyfikował w 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okresie sprawozdawczym 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5B26A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stotnych uchybień 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>w obszarze zarządzania wynikiem finansowym i ryz</w:t>
      </w:r>
      <w:r w:rsidR="00671B52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5B26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kiem w banku. </w:t>
      </w:r>
    </w:p>
    <w:p w14:paraId="0ED8D74C" w14:textId="77777777" w:rsidR="00B45486" w:rsidRPr="00761F4E" w:rsidRDefault="00B45486" w:rsidP="00B45486">
      <w:pPr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  <w:r w:rsidRPr="008456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56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564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5641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2FC82E31" w14:textId="77777777" w:rsidR="002E5065" w:rsidRPr="00A57625" w:rsidRDefault="002E5065" w:rsidP="001C690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</w:pPr>
      <w:r w:rsidRPr="00A57625">
        <w:rPr>
          <w:rFonts w:ascii="Times New Roman" w:eastAsia="Calibri" w:hAnsi="Times New Roman" w:cs="Times New Roman"/>
          <w:b/>
          <w:bCs/>
          <w:color w:val="385623" w:themeColor="accent6" w:themeShade="80"/>
          <w:sz w:val="24"/>
          <w:szCs w:val="24"/>
          <w:lang w:eastAsia="pl-PL"/>
        </w:rPr>
        <w:t xml:space="preserve">PODSUMOWANIE </w:t>
      </w:r>
      <w:r w:rsidRPr="00A57625">
        <w:rPr>
          <w:rFonts w:ascii="Times New Roman" w:eastAsia="Calibri" w:hAnsi="Times New Roman" w:cs="Times New Roman"/>
          <w:b/>
          <w:bCs/>
          <w:snapToGrid w:val="0"/>
          <w:color w:val="385623" w:themeColor="accent6" w:themeShade="80"/>
          <w:sz w:val="24"/>
          <w:szCs w:val="24"/>
          <w:lang w:eastAsia="pl-PL"/>
        </w:rPr>
        <w:t xml:space="preserve">  </w:t>
      </w:r>
    </w:p>
    <w:p w14:paraId="2DA0CE64" w14:textId="3B208D3E" w:rsidR="00C35FEF" w:rsidRPr="00845641" w:rsidRDefault="00C35FEF" w:rsidP="00C35FE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Rada Nadzorcza uwzględniając stanowiska formułowane w zakresie sprawowanego nadzoru oraz </w:t>
      </w:r>
      <w:r w:rsidR="00761F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wysokie </w:t>
      </w:r>
      <w:r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oceny uzyskane przez bank w procesie oceny nadzorczej dokonywanej przez Komisję Nadzoru Finansowego i Spółdzielczy System Ochrony SGB uznaje, że ubiegłoroczna działalność banku była oparta na wyważonej i bezpiecznej polityce, mieściła </w:t>
      </w:r>
      <w:r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>się w granicach akceptowalnego ryzyka oraz była zgodna z obowiązującymi przepisami prawa i dobrymi praktykami. Ocenę tę potwierdzają ubiegłoroczne wyniki finansowe, które osiągnięto na zadowalającym poziomie</w:t>
      </w:r>
      <w:r w:rsidR="00671B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mimo szczególnie trudnych warunków makroekonomicznych</w:t>
      </w:r>
      <w:r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 </w:t>
      </w:r>
    </w:p>
    <w:p w14:paraId="36F85934" w14:textId="77777777" w:rsidR="00541471" w:rsidRDefault="00C35FEF" w:rsidP="00662E7C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wyniku monitorowania poszczególnych obszarów działalności </w:t>
      </w:r>
      <w:r w:rsidR="00761F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anku oraz okresowej oceny wyników finansowych, systemu zarządzania ryzykiem i systemu kontroli wewnętrznej, Rada nie stwierdziła uchybień, mogących wpływać ujemnie na stabilność finansową, podwyższenie ryzyka banku lub zagrażać jego bezpieczeństwu. </w:t>
      </w:r>
      <w:r w:rsidR="00761F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 kolei w</w:t>
      </w:r>
      <w:r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spółpracę pomiędzy Radą Nadzorczą a Zarządem banku </w:t>
      </w:r>
      <w:r w:rsidR="00811A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oceniono</w:t>
      </w:r>
      <w:r w:rsidR="00811A94"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jako</w:t>
      </w:r>
      <w:r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konstruktywną i poprawną. </w:t>
      </w:r>
      <w:r w:rsidR="009518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okresie sprawozdawczym do Rady nie wpłynęła żadna skarga na działalność banku i nie odnotowano zgłoszeń o ewentualnych naruszeniach prawa lub zasad etyki przez członków Zarządu.</w:t>
      </w:r>
      <w:r w:rsidR="00671B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4004D79" w14:textId="7082E3FF" w:rsidR="0095180F" w:rsidRPr="00845641" w:rsidRDefault="00662E7C" w:rsidP="00541471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Szczególnie wysoko ocenia Rada ubiegłoroczną pracę Zarządu, która oparta na profesjonalizmie, zdroworozsądkowych działaniach i ponadprzeciętnym zaangażowaniu jego członków, pozwoliła w tych nadzwyczajnych okolicznościach i licznych utrudnieniach, niwelować bezpośrednie zagrożenia dla banku, utrzymać ciągłość jego działania i zapewniać bezpieczeństwo pracownikom i klientom. </w:t>
      </w:r>
      <w:r w:rsidR="00C35FEF" w:rsidRPr="0084564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518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Mając </w:t>
      </w:r>
      <w:r w:rsidR="005414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zatem </w:t>
      </w:r>
      <w:r w:rsidR="009518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względzie pozytywną ocenę pracy Zarządu i wyników finansowych banku, Rada Nadzorcza podczas tegorocznego Zebrania Przedstawicieli, będzie wnioskować o przyjęcie sprawozdania finansowego za miniony rok i o udzielenie członkom Zarządu absolutorium. </w:t>
      </w:r>
    </w:p>
    <w:p w14:paraId="0AA8E43E" w14:textId="77777777" w:rsidR="00761F4E" w:rsidRPr="00845641" w:rsidRDefault="00761F4E" w:rsidP="002E5065">
      <w:pPr>
        <w:spacing w:after="0" w:line="360" w:lineRule="auto"/>
        <w:ind w:firstLine="37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48C45E" w14:textId="77777777" w:rsidR="004A653A" w:rsidRPr="00845641" w:rsidRDefault="004A653A" w:rsidP="00B454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A1F335" w14:textId="77777777" w:rsidR="00A009FA" w:rsidRPr="00845641" w:rsidRDefault="00A009FA" w:rsidP="00A009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Prezydium Rady Nadzorczej Banku Spółdzielczego w Gnieźnie:</w:t>
      </w:r>
    </w:p>
    <w:p w14:paraId="05FC26C7" w14:textId="77777777" w:rsidR="00A009FA" w:rsidRPr="00845641" w:rsidRDefault="00A009FA" w:rsidP="00A009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56850B3" w14:textId="77777777" w:rsidR="00A009FA" w:rsidRPr="00845641" w:rsidRDefault="00A009FA" w:rsidP="00A009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P. Wal</w:t>
      </w:r>
      <w:r w:rsidR="006E4D2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demar Pomorski, przewodniczący</w:t>
      </w:r>
      <w:r w:rsidR="006E4D2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………………………………..…..</w:t>
      </w:r>
    </w:p>
    <w:p w14:paraId="7DECA38A" w14:textId="77777777" w:rsidR="00A009FA" w:rsidRPr="00845641" w:rsidRDefault="00A009FA" w:rsidP="00A009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P. Jan </w:t>
      </w:r>
      <w:r w:rsidR="006E4D2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Wójcik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, zastępca przewodniczącego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7A4ACE07" w14:textId="77777777" w:rsidR="002E5065" w:rsidRPr="00845641" w:rsidRDefault="00A009FA" w:rsidP="00A009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P. Jan </w:t>
      </w:r>
      <w:r w:rsidR="006E4D29"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Borkowicz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>, sekretarz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22CEEE23" w14:textId="77777777" w:rsidR="00FD7303" w:rsidRPr="00845641" w:rsidRDefault="00FD7303" w:rsidP="002E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7927779" w14:textId="77777777" w:rsidR="00FD7303" w:rsidRPr="00845641" w:rsidRDefault="00FD7303" w:rsidP="002E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8FE5717" w14:textId="77777777" w:rsidR="00FD7303" w:rsidRPr="00845641" w:rsidRDefault="00FD7303" w:rsidP="002E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5FEA31" w14:textId="77777777" w:rsidR="002E5065" w:rsidRPr="00845641" w:rsidRDefault="002E5065" w:rsidP="002E50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Gniezno, dnia </w:t>
      </w:r>
      <w:r w:rsidR="00811A94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A57625">
        <w:rPr>
          <w:rFonts w:ascii="Times New Roman" w:eastAsia="Calibri" w:hAnsi="Times New Roman" w:cs="Times New Roman"/>
          <w:sz w:val="24"/>
          <w:szCs w:val="24"/>
          <w:lang w:eastAsia="pl-PL"/>
        </w:rPr>
        <w:t>6 kwietnia 2</w:t>
      </w:r>
      <w:r w:rsidR="008017C4">
        <w:rPr>
          <w:rFonts w:ascii="Times New Roman" w:eastAsia="Calibri" w:hAnsi="Times New Roman" w:cs="Times New Roman"/>
          <w:sz w:val="24"/>
          <w:szCs w:val="24"/>
          <w:lang w:eastAsia="pl-PL"/>
        </w:rPr>
        <w:t>021</w:t>
      </w:r>
      <w:r w:rsidRPr="00845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5AA835A9" w14:textId="77777777" w:rsidR="004159B5" w:rsidRPr="00845641" w:rsidRDefault="004159B5">
      <w:pPr>
        <w:rPr>
          <w:rFonts w:ascii="Times New Roman" w:hAnsi="Times New Roman" w:cs="Times New Roman"/>
        </w:rPr>
      </w:pPr>
    </w:p>
    <w:sectPr w:rsidR="004159B5" w:rsidRPr="00845641" w:rsidSect="004A653A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D84A" w14:textId="77777777" w:rsidR="004944B6" w:rsidRDefault="004944B6" w:rsidP="002E5065">
      <w:pPr>
        <w:spacing w:after="0" w:line="240" w:lineRule="auto"/>
      </w:pPr>
      <w:r>
        <w:separator/>
      </w:r>
    </w:p>
  </w:endnote>
  <w:endnote w:type="continuationSeparator" w:id="0">
    <w:p w14:paraId="2D4E0C78" w14:textId="77777777" w:rsidR="004944B6" w:rsidRDefault="004944B6" w:rsidP="002E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442762"/>
      <w:docPartObj>
        <w:docPartGallery w:val="Page Numbers (Bottom of Page)"/>
        <w:docPartUnique/>
      </w:docPartObj>
    </w:sdtPr>
    <w:sdtEndPr/>
    <w:sdtContent>
      <w:p w14:paraId="2830896C" w14:textId="77777777" w:rsidR="002E5065" w:rsidRDefault="002E5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10">
          <w:rPr>
            <w:noProof/>
          </w:rPr>
          <w:t>6</w:t>
        </w:r>
        <w:r>
          <w:fldChar w:fldCharType="end"/>
        </w:r>
      </w:p>
    </w:sdtContent>
  </w:sdt>
  <w:p w14:paraId="6914AB01" w14:textId="77777777" w:rsidR="002E5065" w:rsidRDefault="002E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1B73" w14:textId="77777777" w:rsidR="004944B6" w:rsidRDefault="004944B6" w:rsidP="002E5065">
      <w:pPr>
        <w:spacing w:after="0" w:line="240" w:lineRule="auto"/>
      </w:pPr>
      <w:r>
        <w:separator/>
      </w:r>
    </w:p>
  </w:footnote>
  <w:footnote w:type="continuationSeparator" w:id="0">
    <w:p w14:paraId="7E7130ED" w14:textId="77777777" w:rsidR="004944B6" w:rsidRDefault="004944B6" w:rsidP="002E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5FC"/>
    <w:multiLevelType w:val="hybridMultilevel"/>
    <w:tmpl w:val="C02020C4"/>
    <w:lvl w:ilvl="0" w:tplc="0415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F5135C"/>
    <w:multiLevelType w:val="hybridMultilevel"/>
    <w:tmpl w:val="22F2225E"/>
    <w:lvl w:ilvl="0" w:tplc="E70C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548"/>
    <w:multiLevelType w:val="hybridMultilevel"/>
    <w:tmpl w:val="86667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4B5B"/>
    <w:multiLevelType w:val="hybridMultilevel"/>
    <w:tmpl w:val="48E042E2"/>
    <w:lvl w:ilvl="0" w:tplc="E194B0F4">
      <w:start w:val="1"/>
      <w:numFmt w:val="decimal"/>
      <w:lvlText w:val="%1)"/>
      <w:lvlJc w:val="left"/>
      <w:pPr>
        <w:ind w:left="780" w:hanging="360"/>
      </w:pPr>
      <w:rPr>
        <w:rFonts w:ascii="Palatino Linotype" w:hAnsi="Palatino Linotype" w:cs="Arial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D353A6"/>
    <w:multiLevelType w:val="hybridMultilevel"/>
    <w:tmpl w:val="90824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08B1"/>
    <w:multiLevelType w:val="hybridMultilevel"/>
    <w:tmpl w:val="19DA28A0"/>
    <w:lvl w:ilvl="0" w:tplc="7AA4727E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302977"/>
    <w:multiLevelType w:val="hybridMultilevel"/>
    <w:tmpl w:val="65C83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00714"/>
    <w:multiLevelType w:val="hybridMultilevel"/>
    <w:tmpl w:val="590696A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36739E7"/>
    <w:multiLevelType w:val="hybridMultilevel"/>
    <w:tmpl w:val="342E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A0399"/>
    <w:multiLevelType w:val="hybridMultilevel"/>
    <w:tmpl w:val="499A0DDE"/>
    <w:lvl w:ilvl="0" w:tplc="7B9457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D5543"/>
    <w:multiLevelType w:val="hybridMultilevel"/>
    <w:tmpl w:val="F904C5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194C"/>
    <w:multiLevelType w:val="hybridMultilevel"/>
    <w:tmpl w:val="7EF85D4E"/>
    <w:lvl w:ilvl="0" w:tplc="931AEE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146E0C"/>
    <w:multiLevelType w:val="hybridMultilevel"/>
    <w:tmpl w:val="CDDAB8EE"/>
    <w:lvl w:ilvl="0" w:tplc="7AA472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A5230"/>
    <w:multiLevelType w:val="hybridMultilevel"/>
    <w:tmpl w:val="7B32D1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6BDA"/>
    <w:multiLevelType w:val="hybridMultilevel"/>
    <w:tmpl w:val="D6029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31AEEDC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24E16"/>
    <w:multiLevelType w:val="hybridMultilevel"/>
    <w:tmpl w:val="94C24950"/>
    <w:lvl w:ilvl="0" w:tplc="14F8DEFC">
      <w:start w:val="1"/>
      <w:numFmt w:val="upperRoman"/>
      <w:lvlText w:val="%1."/>
      <w:lvlJc w:val="left"/>
      <w:pPr>
        <w:ind w:left="1080" w:hanging="720"/>
      </w:pPr>
      <w:rPr>
        <w:color w:val="385623" w:themeColor="accent6" w:themeShade="8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B3EE4"/>
    <w:multiLevelType w:val="hybridMultilevel"/>
    <w:tmpl w:val="D9A8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B4DE0"/>
    <w:multiLevelType w:val="hybridMultilevel"/>
    <w:tmpl w:val="85F0CAB6"/>
    <w:lvl w:ilvl="0" w:tplc="B344C9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72DB4"/>
    <w:multiLevelType w:val="hybridMultilevel"/>
    <w:tmpl w:val="0AB2B06C"/>
    <w:lvl w:ilvl="0" w:tplc="0415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7BF07542"/>
    <w:multiLevelType w:val="hybridMultilevel"/>
    <w:tmpl w:val="BDACF506"/>
    <w:lvl w:ilvl="0" w:tplc="A8BCE1B6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6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3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9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65"/>
    <w:rsid w:val="00012F3A"/>
    <w:rsid w:val="0002282A"/>
    <w:rsid w:val="00042499"/>
    <w:rsid w:val="00053479"/>
    <w:rsid w:val="00083088"/>
    <w:rsid w:val="00085DEC"/>
    <w:rsid w:val="000A2F3C"/>
    <w:rsid w:val="000B0659"/>
    <w:rsid w:val="000E1C49"/>
    <w:rsid w:val="001176AA"/>
    <w:rsid w:val="00122355"/>
    <w:rsid w:val="001537CC"/>
    <w:rsid w:val="00186FC4"/>
    <w:rsid w:val="001A7DB3"/>
    <w:rsid w:val="001C690C"/>
    <w:rsid w:val="001D2E2A"/>
    <w:rsid w:val="0020139A"/>
    <w:rsid w:val="00230024"/>
    <w:rsid w:val="0023327D"/>
    <w:rsid w:val="00247AEE"/>
    <w:rsid w:val="00254108"/>
    <w:rsid w:val="002716B8"/>
    <w:rsid w:val="00284CCD"/>
    <w:rsid w:val="002B10B9"/>
    <w:rsid w:val="002C109B"/>
    <w:rsid w:val="002C6A26"/>
    <w:rsid w:val="002E1BBE"/>
    <w:rsid w:val="002E5065"/>
    <w:rsid w:val="00321372"/>
    <w:rsid w:val="00342716"/>
    <w:rsid w:val="00346322"/>
    <w:rsid w:val="00346DC1"/>
    <w:rsid w:val="003E501E"/>
    <w:rsid w:val="003E7D3C"/>
    <w:rsid w:val="00403528"/>
    <w:rsid w:val="004159B5"/>
    <w:rsid w:val="00415EDA"/>
    <w:rsid w:val="00417D8D"/>
    <w:rsid w:val="00420A50"/>
    <w:rsid w:val="0044683D"/>
    <w:rsid w:val="004944B6"/>
    <w:rsid w:val="004A4062"/>
    <w:rsid w:val="004A653A"/>
    <w:rsid w:val="004C7663"/>
    <w:rsid w:val="00504CA3"/>
    <w:rsid w:val="005155FD"/>
    <w:rsid w:val="00541471"/>
    <w:rsid w:val="005613E0"/>
    <w:rsid w:val="005708B9"/>
    <w:rsid w:val="00591DCA"/>
    <w:rsid w:val="005930C2"/>
    <w:rsid w:val="005B26A9"/>
    <w:rsid w:val="005D655E"/>
    <w:rsid w:val="00653544"/>
    <w:rsid w:val="0065360D"/>
    <w:rsid w:val="00662E7C"/>
    <w:rsid w:val="00671B52"/>
    <w:rsid w:val="00680517"/>
    <w:rsid w:val="00681228"/>
    <w:rsid w:val="00682C1D"/>
    <w:rsid w:val="00697CAC"/>
    <w:rsid w:val="006C217D"/>
    <w:rsid w:val="006C2F45"/>
    <w:rsid w:val="006C735B"/>
    <w:rsid w:val="006D6817"/>
    <w:rsid w:val="006E4D29"/>
    <w:rsid w:val="006F43CB"/>
    <w:rsid w:val="006F5BB9"/>
    <w:rsid w:val="00723D0F"/>
    <w:rsid w:val="0074622B"/>
    <w:rsid w:val="00761F4E"/>
    <w:rsid w:val="007A7A36"/>
    <w:rsid w:val="007B64D0"/>
    <w:rsid w:val="007F263C"/>
    <w:rsid w:val="008017C4"/>
    <w:rsid w:val="0080470D"/>
    <w:rsid w:val="00811A94"/>
    <w:rsid w:val="008155E2"/>
    <w:rsid w:val="00821C56"/>
    <w:rsid w:val="00845641"/>
    <w:rsid w:val="00855630"/>
    <w:rsid w:val="00857D01"/>
    <w:rsid w:val="00857E98"/>
    <w:rsid w:val="00882B13"/>
    <w:rsid w:val="008C37B9"/>
    <w:rsid w:val="009025B8"/>
    <w:rsid w:val="0095180F"/>
    <w:rsid w:val="00955014"/>
    <w:rsid w:val="0096264D"/>
    <w:rsid w:val="00974D81"/>
    <w:rsid w:val="009750FF"/>
    <w:rsid w:val="00984E22"/>
    <w:rsid w:val="00986210"/>
    <w:rsid w:val="00997A27"/>
    <w:rsid w:val="009B53B7"/>
    <w:rsid w:val="009C4ABB"/>
    <w:rsid w:val="00A009FA"/>
    <w:rsid w:val="00A12D05"/>
    <w:rsid w:val="00A345EF"/>
    <w:rsid w:val="00A34724"/>
    <w:rsid w:val="00A53AE2"/>
    <w:rsid w:val="00A57625"/>
    <w:rsid w:val="00AA254F"/>
    <w:rsid w:val="00AC3DAA"/>
    <w:rsid w:val="00AC3DC6"/>
    <w:rsid w:val="00AC6006"/>
    <w:rsid w:val="00AD5C22"/>
    <w:rsid w:val="00AD7259"/>
    <w:rsid w:val="00AE281F"/>
    <w:rsid w:val="00AE6B1D"/>
    <w:rsid w:val="00AF0452"/>
    <w:rsid w:val="00B031A7"/>
    <w:rsid w:val="00B45486"/>
    <w:rsid w:val="00B6618F"/>
    <w:rsid w:val="00B80A13"/>
    <w:rsid w:val="00B958CC"/>
    <w:rsid w:val="00BB6005"/>
    <w:rsid w:val="00BC2369"/>
    <w:rsid w:val="00BC35AA"/>
    <w:rsid w:val="00BE776D"/>
    <w:rsid w:val="00C02343"/>
    <w:rsid w:val="00C033A6"/>
    <w:rsid w:val="00C303FB"/>
    <w:rsid w:val="00C35BB6"/>
    <w:rsid w:val="00C35FEF"/>
    <w:rsid w:val="00C442B7"/>
    <w:rsid w:val="00C57B7F"/>
    <w:rsid w:val="00CB7377"/>
    <w:rsid w:val="00CE6AFE"/>
    <w:rsid w:val="00D039E3"/>
    <w:rsid w:val="00D143FE"/>
    <w:rsid w:val="00D5656F"/>
    <w:rsid w:val="00D64BFD"/>
    <w:rsid w:val="00D67363"/>
    <w:rsid w:val="00D72AFE"/>
    <w:rsid w:val="00DA726C"/>
    <w:rsid w:val="00DA7F38"/>
    <w:rsid w:val="00DE2888"/>
    <w:rsid w:val="00E156B3"/>
    <w:rsid w:val="00E504C4"/>
    <w:rsid w:val="00E524F1"/>
    <w:rsid w:val="00E81372"/>
    <w:rsid w:val="00E81724"/>
    <w:rsid w:val="00E826E1"/>
    <w:rsid w:val="00EA4A3A"/>
    <w:rsid w:val="00EB1AF5"/>
    <w:rsid w:val="00EC500C"/>
    <w:rsid w:val="00ED0535"/>
    <w:rsid w:val="00ED369E"/>
    <w:rsid w:val="00EE4728"/>
    <w:rsid w:val="00F34224"/>
    <w:rsid w:val="00F36A0F"/>
    <w:rsid w:val="00F71820"/>
    <w:rsid w:val="00FB7893"/>
    <w:rsid w:val="00FD7303"/>
    <w:rsid w:val="00FE0835"/>
    <w:rsid w:val="00FE2142"/>
    <w:rsid w:val="00FE2580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7885"/>
  <w15:docId w15:val="{8FA5E4BF-D9C2-4195-B5E4-C980A6A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065"/>
  </w:style>
  <w:style w:type="paragraph" w:styleId="Stopka">
    <w:name w:val="footer"/>
    <w:basedOn w:val="Normalny"/>
    <w:link w:val="StopkaZnak"/>
    <w:uiPriority w:val="99"/>
    <w:unhideWhenUsed/>
    <w:rsid w:val="002E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065"/>
  </w:style>
  <w:style w:type="paragraph" w:styleId="Tekstdymka">
    <w:name w:val="Balloon Text"/>
    <w:basedOn w:val="Normalny"/>
    <w:link w:val="TekstdymkaZnak"/>
    <w:uiPriority w:val="99"/>
    <w:semiHidden/>
    <w:unhideWhenUsed/>
    <w:rsid w:val="00A0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9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0517"/>
    <w:pPr>
      <w:ind w:left="720"/>
      <w:contextualSpacing/>
    </w:pPr>
  </w:style>
  <w:style w:type="paragraph" w:styleId="Bezodstpw">
    <w:name w:val="No Spacing"/>
    <w:uiPriority w:val="1"/>
    <w:qFormat/>
    <w:rsid w:val="00C57B7F"/>
    <w:pPr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09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E0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903C-3F48-427B-9E99-766034B1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Klucz</dc:creator>
  <cp:lastModifiedBy>Lenovo</cp:lastModifiedBy>
  <cp:revision>16</cp:revision>
  <cp:lastPrinted>2021-04-06T07:02:00Z</cp:lastPrinted>
  <dcterms:created xsi:type="dcterms:W3CDTF">2021-03-30T08:02:00Z</dcterms:created>
  <dcterms:modified xsi:type="dcterms:W3CDTF">2021-04-09T09:36:00Z</dcterms:modified>
</cp:coreProperties>
</file>