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96A3" w14:textId="77777777" w:rsidR="006E3D5E" w:rsidRPr="00AF3D21" w:rsidRDefault="004025F8" w:rsidP="000248A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FFFFFF"/>
          <w:sz w:val="40"/>
          <w:szCs w:val="4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B5E5615" wp14:editId="3D192AA9">
                <wp:simplePos x="0" y="0"/>
                <wp:positionH relativeFrom="column">
                  <wp:posOffset>-128905</wp:posOffset>
                </wp:positionH>
                <wp:positionV relativeFrom="paragraph">
                  <wp:posOffset>-46355</wp:posOffset>
                </wp:positionV>
                <wp:extent cx="6045835" cy="361950"/>
                <wp:effectExtent l="13970" t="10795" r="762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835" cy="36195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CCE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F64D394" id="Prostokąt 1" o:spid="_x0000_s1026" style="position:absolute;margin-left:-10.15pt;margin-top:-3.65pt;width:476.0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" o:allowincell="f" fillcolor="#76923c" strokecolor="#ccecff"/>
            </w:pict>
          </mc:Fallback>
        </mc:AlternateContent>
      </w:r>
      <w:r w:rsidR="006E3D5E" w:rsidRPr="00AF3D21">
        <w:rPr>
          <w:rFonts w:ascii="Times New Roman" w:eastAsia="Arial Unicode MS" w:hAnsi="Times New Roman" w:cs="Times New Roman"/>
          <w:b/>
          <w:bCs/>
          <w:color w:val="FFFFFF"/>
          <w:sz w:val="40"/>
          <w:szCs w:val="40"/>
          <w:lang w:eastAsia="pl-PL"/>
        </w:rPr>
        <w:t xml:space="preserve">S P R A W O Z D A N I E   Z A R Z Ą D U </w:t>
      </w:r>
    </w:p>
    <w:p w14:paraId="2DA2B70B" w14:textId="77777777" w:rsidR="006E3D5E" w:rsidRPr="00AF3D21" w:rsidRDefault="006E3D5E" w:rsidP="000248A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  <w:lang w:eastAsia="pl-PL"/>
        </w:rPr>
      </w:pPr>
      <w:r w:rsidRPr="00AF3D21">
        <w:rPr>
          <w:rFonts w:ascii="Times New Roman" w:eastAsia="Arial Unicode MS" w:hAnsi="Times New Roman" w:cs="Times New Roman"/>
          <w:b/>
          <w:bCs/>
          <w:sz w:val="32"/>
          <w:szCs w:val="32"/>
          <w:lang w:eastAsia="pl-PL"/>
        </w:rPr>
        <w:t xml:space="preserve">Banku Spółdzielczego w Gnieźnie </w:t>
      </w:r>
    </w:p>
    <w:p w14:paraId="5654F3F1" w14:textId="77777777" w:rsidR="006E3D5E" w:rsidRPr="00AF3D21" w:rsidRDefault="006E3D5E" w:rsidP="00024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AF3D21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z działalnoś</w:t>
      </w:r>
      <w:r w:rsidR="00F1474E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ci za 2020</w:t>
      </w:r>
      <w:r w:rsidRPr="00AF3D21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r.</w:t>
      </w:r>
    </w:p>
    <w:p w14:paraId="141F4151" w14:textId="77777777" w:rsidR="006E3D5E" w:rsidRPr="00AF3D21" w:rsidRDefault="006E3D5E" w:rsidP="00024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AF3D21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na Zebrani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AF3D21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Grup Członkowski</w:t>
      </w:r>
      <w:r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ch</w:t>
      </w:r>
    </w:p>
    <w:p w14:paraId="0E196EF6" w14:textId="77777777" w:rsidR="006E3D5E" w:rsidRPr="000248A5" w:rsidRDefault="006E3D5E" w:rsidP="00024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00C27F21" w14:textId="77777777" w:rsidR="006E3D5E" w:rsidRPr="0008346B" w:rsidRDefault="006E3D5E" w:rsidP="000248A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34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I. Wprowadzenie</w:t>
      </w:r>
    </w:p>
    <w:p w14:paraId="4093CB76" w14:textId="27737D04" w:rsidR="006E3D5E" w:rsidRPr="0008346B" w:rsidRDefault="006E3D5E" w:rsidP="00E2463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346B">
        <w:rPr>
          <w:rFonts w:ascii="Times New Roman" w:hAnsi="Times New Roman" w:cs="Times New Roman"/>
          <w:sz w:val="24"/>
          <w:szCs w:val="24"/>
          <w:lang w:eastAsia="pl-PL"/>
        </w:rPr>
        <w:t>Na podstawie § 20 pkt 4 Statutu Banku Spółdzielczego w Gnieźnie, którego tekst ujednolicony st</w:t>
      </w:r>
      <w:r w:rsidR="00F1474E">
        <w:rPr>
          <w:rFonts w:ascii="Times New Roman" w:hAnsi="Times New Roman" w:cs="Times New Roman"/>
          <w:sz w:val="24"/>
          <w:szCs w:val="24"/>
          <w:lang w:eastAsia="pl-PL"/>
        </w:rPr>
        <w:t>anowi załącznik do Uchwały Nr 58/2020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 Zarządu Banku Spó</w:t>
      </w:r>
      <w:r w:rsidR="00F1474E">
        <w:rPr>
          <w:rFonts w:ascii="Times New Roman" w:hAnsi="Times New Roman" w:cs="Times New Roman"/>
          <w:sz w:val="24"/>
          <w:szCs w:val="24"/>
          <w:lang w:eastAsia="pl-PL"/>
        </w:rPr>
        <w:t>łdzielczego w Gnieźnie z dnia 9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1474E">
        <w:rPr>
          <w:rFonts w:ascii="Times New Roman" w:hAnsi="Times New Roman" w:cs="Times New Roman"/>
          <w:sz w:val="24"/>
          <w:szCs w:val="24"/>
          <w:lang w:eastAsia="pl-PL"/>
        </w:rPr>
        <w:t>lipca 2020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 r., Zarząd banku przedkłada sprawozdanie z ubiegłorocznej działalności</w:t>
      </w:r>
      <w:r w:rsidR="006F6C01">
        <w:rPr>
          <w:rFonts w:ascii="Times New Roman" w:hAnsi="Times New Roman" w:cs="Times New Roman"/>
          <w:sz w:val="24"/>
          <w:szCs w:val="24"/>
          <w:lang w:eastAsia="pl-PL"/>
        </w:rPr>
        <w:t xml:space="preserve"> obejmujące 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działania podjęte w okresie sprawozdawczym wraz z </w:t>
      </w:r>
      <w:r w:rsidR="006F6C01">
        <w:rPr>
          <w:rFonts w:ascii="Times New Roman" w:hAnsi="Times New Roman" w:cs="Times New Roman"/>
          <w:sz w:val="24"/>
          <w:szCs w:val="24"/>
          <w:lang w:eastAsia="pl-PL"/>
        </w:rPr>
        <w:t xml:space="preserve">podstawowymi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 xml:space="preserve">informacjami 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finansowymi. </w:t>
      </w:r>
    </w:p>
    <w:p w14:paraId="00F149BC" w14:textId="77777777" w:rsidR="006E3D5E" w:rsidRDefault="006E3D5E" w:rsidP="00E246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W okresie sprawozdawczym, Zarząd banku </w:t>
      </w:r>
      <w:r w:rsidR="004811CD">
        <w:rPr>
          <w:rFonts w:ascii="Times New Roman" w:hAnsi="Times New Roman" w:cs="Times New Roman"/>
          <w:sz w:val="24"/>
          <w:szCs w:val="24"/>
          <w:lang w:eastAsia="pl-PL"/>
        </w:rPr>
        <w:t xml:space="preserve">realizował założenia obranej przed czterema laty </w:t>
      </w:r>
      <w:r w:rsidR="009502BD">
        <w:rPr>
          <w:rFonts w:ascii="Times New Roman" w:hAnsi="Times New Roman" w:cs="Times New Roman"/>
          <w:sz w:val="24"/>
          <w:szCs w:val="24"/>
          <w:lang w:eastAsia="pl-PL"/>
        </w:rPr>
        <w:t xml:space="preserve">strategii w zakresie </w:t>
      </w:r>
      <w:r w:rsidR="009502BD" w:rsidRPr="0008346B">
        <w:rPr>
          <w:rFonts w:ascii="Times New Roman" w:hAnsi="Times New Roman" w:cs="Times New Roman"/>
          <w:sz w:val="24"/>
          <w:szCs w:val="24"/>
          <w:lang w:eastAsia="pl-PL"/>
        </w:rPr>
        <w:t>najważniejszych aspektów rozwoju i funkcjonowania banku</w:t>
      </w:r>
      <w:r w:rsidR="009502B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1474E">
        <w:rPr>
          <w:rFonts w:ascii="Times New Roman" w:hAnsi="Times New Roman" w:cs="Times New Roman"/>
          <w:sz w:val="24"/>
          <w:szCs w:val="24"/>
          <w:lang w:eastAsia="pl-PL"/>
        </w:rPr>
        <w:t>łą</w:t>
      </w:r>
      <w:r w:rsidR="004811CD">
        <w:rPr>
          <w:rFonts w:ascii="Times New Roman" w:hAnsi="Times New Roman" w:cs="Times New Roman"/>
          <w:sz w:val="24"/>
          <w:szCs w:val="24"/>
          <w:lang w:eastAsia="pl-PL"/>
        </w:rPr>
        <w:t>cząc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wyzwania i 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doświadczenia, wynikające </w:t>
      </w:r>
      <w:r w:rsidR="009502BD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>uwarunkowań prawnych</w:t>
      </w:r>
      <w:r w:rsidR="00C9143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43A66466" w14:textId="77777777" w:rsidR="006E3D5E" w:rsidRPr="0008346B" w:rsidRDefault="006E3D5E" w:rsidP="00E246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Wyzwaniem dla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 ubiegłorocznej działalności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banku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 była dynamika zmian w przepisach prawa, które dotknęły sektor bankowy w wielu istotnych obszarach</w:t>
      </w:r>
      <w:r w:rsidR="00C9143A" w:rsidRPr="00C914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9143A">
        <w:rPr>
          <w:rFonts w:ascii="Times New Roman" w:hAnsi="Times New Roman" w:cs="Times New Roman"/>
          <w:sz w:val="24"/>
          <w:szCs w:val="24"/>
          <w:lang w:eastAsia="pl-PL"/>
        </w:rPr>
        <w:t xml:space="preserve">oraz zapewnienie ciągłości działania banku </w:t>
      </w:r>
      <w:r w:rsidR="00E278D3">
        <w:rPr>
          <w:rFonts w:ascii="Times New Roman" w:hAnsi="Times New Roman" w:cs="Times New Roman"/>
          <w:sz w:val="24"/>
          <w:szCs w:val="24"/>
          <w:lang w:eastAsia="pl-PL"/>
        </w:rPr>
        <w:t xml:space="preserve">w obliczu trudnej </w:t>
      </w:r>
      <w:r w:rsidR="00C9143A">
        <w:rPr>
          <w:rFonts w:ascii="Times New Roman" w:hAnsi="Times New Roman" w:cs="Times New Roman"/>
          <w:sz w:val="24"/>
          <w:szCs w:val="24"/>
          <w:lang w:eastAsia="pl-PL"/>
        </w:rPr>
        <w:t>sytuacj</w:t>
      </w:r>
      <w:r w:rsidR="00E278D3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C9143A">
        <w:rPr>
          <w:rFonts w:ascii="Times New Roman" w:hAnsi="Times New Roman" w:cs="Times New Roman"/>
          <w:sz w:val="24"/>
          <w:szCs w:val="24"/>
          <w:lang w:eastAsia="pl-PL"/>
        </w:rPr>
        <w:t xml:space="preserve"> makroekonomiczn</w:t>
      </w:r>
      <w:r w:rsidR="00E278D3">
        <w:rPr>
          <w:rFonts w:ascii="Times New Roman" w:hAnsi="Times New Roman" w:cs="Times New Roman"/>
          <w:sz w:val="24"/>
          <w:szCs w:val="24"/>
          <w:lang w:eastAsia="pl-PL"/>
        </w:rPr>
        <w:t xml:space="preserve">ej, gospodarczej i społecznej </w:t>
      </w:r>
      <w:r w:rsidR="00C9143A">
        <w:rPr>
          <w:rFonts w:ascii="Times New Roman" w:hAnsi="Times New Roman" w:cs="Times New Roman"/>
          <w:sz w:val="24"/>
          <w:szCs w:val="24"/>
          <w:lang w:eastAsia="pl-PL"/>
        </w:rPr>
        <w:t>spowodowan</w:t>
      </w:r>
      <w:r w:rsidR="00E278D3">
        <w:rPr>
          <w:rFonts w:ascii="Times New Roman" w:hAnsi="Times New Roman" w:cs="Times New Roman"/>
          <w:sz w:val="24"/>
          <w:szCs w:val="24"/>
          <w:lang w:eastAsia="pl-PL"/>
        </w:rPr>
        <w:t xml:space="preserve">ej </w:t>
      </w:r>
      <w:r w:rsidR="00976BCC">
        <w:rPr>
          <w:rFonts w:ascii="Times New Roman" w:hAnsi="Times New Roman" w:cs="Times New Roman"/>
          <w:sz w:val="24"/>
          <w:szCs w:val="24"/>
          <w:lang w:eastAsia="pl-PL"/>
        </w:rPr>
        <w:t>stan</w:t>
      </w:r>
      <w:r w:rsidR="00E278D3">
        <w:rPr>
          <w:rFonts w:ascii="Times New Roman" w:hAnsi="Times New Roman" w:cs="Times New Roman"/>
          <w:sz w:val="24"/>
          <w:szCs w:val="24"/>
          <w:lang w:eastAsia="pl-PL"/>
        </w:rPr>
        <w:t>em</w:t>
      </w:r>
      <w:r w:rsidR="00976BCC">
        <w:rPr>
          <w:rFonts w:ascii="Times New Roman" w:hAnsi="Times New Roman" w:cs="Times New Roman"/>
          <w:sz w:val="24"/>
          <w:szCs w:val="24"/>
          <w:lang w:eastAsia="pl-PL"/>
        </w:rPr>
        <w:t xml:space="preserve"> epidemi</w:t>
      </w:r>
      <w:r w:rsidR="00E278D3">
        <w:rPr>
          <w:rFonts w:ascii="Times New Roman" w:hAnsi="Times New Roman" w:cs="Times New Roman"/>
          <w:sz w:val="24"/>
          <w:szCs w:val="24"/>
          <w:lang w:eastAsia="pl-PL"/>
        </w:rPr>
        <w:t>i i wprowadzanymi ograniczeniami rządowymi.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166723F" w14:textId="77777777" w:rsidR="006E3D5E" w:rsidRPr="0008346B" w:rsidRDefault="006E3D5E" w:rsidP="00E246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8346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AA08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Zakres działania </w:t>
      </w:r>
      <w:r w:rsidRPr="0008346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Zarządu</w:t>
      </w:r>
    </w:p>
    <w:p w14:paraId="3239D459" w14:textId="0DB401F3" w:rsidR="00357196" w:rsidRDefault="0095110E" w:rsidP="00E24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Miniony rok był szczególnym czasem nie tylko dla bankowości, ale także dla </w:t>
      </w:r>
      <w:r w:rsidR="00F46C06">
        <w:rPr>
          <w:rFonts w:ascii="Times New Roman" w:hAnsi="Times New Roman" w:cs="Times New Roman"/>
          <w:sz w:val="24"/>
          <w:szCs w:val="24"/>
          <w:lang w:eastAsia="pl-PL"/>
        </w:rPr>
        <w:t xml:space="preserve">całego </w:t>
      </w:r>
      <w:r>
        <w:rPr>
          <w:rFonts w:ascii="Times New Roman" w:hAnsi="Times New Roman" w:cs="Times New Roman"/>
          <w:sz w:val="24"/>
          <w:szCs w:val="24"/>
          <w:lang w:eastAsia="pl-PL"/>
        </w:rPr>
        <w:t>społeczeństwa i sektora gospodarczego. Nie był</w:t>
      </w:r>
      <w:r w:rsidR="001B29CE">
        <w:rPr>
          <w:rFonts w:ascii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to bowiem </w:t>
      </w:r>
      <w:r w:rsidR="001B29CE">
        <w:rPr>
          <w:rFonts w:ascii="Times New Roman" w:hAnsi="Times New Roman" w:cs="Times New Roman"/>
          <w:sz w:val="24"/>
          <w:szCs w:val="24"/>
          <w:lang w:eastAsia="pl-PL"/>
        </w:rPr>
        <w:t xml:space="preserve">odzwierciedlenie </w:t>
      </w:r>
      <w:r>
        <w:rPr>
          <w:rFonts w:ascii="Times New Roman" w:hAnsi="Times New Roman" w:cs="Times New Roman"/>
          <w:sz w:val="24"/>
          <w:szCs w:val="24"/>
          <w:lang w:eastAsia="pl-PL"/>
        </w:rPr>
        <w:t>normalnej pracy i zaangażowania w rozwój banku</w:t>
      </w:r>
      <w:r w:rsidR="001B29CE">
        <w:rPr>
          <w:rFonts w:ascii="Times New Roman" w:hAnsi="Times New Roman" w:cs="Times New Roman"/>
          <w:sz w:val="24"/>
          <w:szCs w:val="24"/>
          <w:lang w:eastAsia="pl-PL"/>
        </w:rPr>
        <w:t xml:space="preserve"> z poprzednich lat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ale czas wzmożonej troski o zapewnienie ciągłości działania </w:t>
      </w:r>
      <w:r w:rsidR="001B29CE">
        <w:rPr>
          <w:rFonts w:ascii="Times New Roman" w:hAnsi="Times New Roman" w:cs="Times New Roman"/>
          <w:sz w:val="24"/>
          <w:szCs w:val="24"/>
          <w:lang w:eastAsia="pl-PL"/>
        </w:rPr>
        <w:t xml:space="preserve">banku we wszystkich kluczowych procesach </w:t>
      </w:r>
      <w:r>
        <w:rPr>
          <w:rFonts w:ascii="Times New Roman" w:hAnsi="Times New Roman" w:cs="Times New Roman"/>
          <w:sz w:val="24"/>
          <w:szCs w:val="24"/>
          <w:lang w:eastAsia="pl-PL"/>
        </w:rPr>
        <w:t>i stałej obsługi klientów</w:t>
      </w:r>
      <w:r w:rsidR="001B29CE">
        <w:rPr>
          <w:rFonts w:ascii="Times New Roman" w:hAnsi="Times New Roman" w:cs="Times New Roman"/>
          <w:sz w:val="24"/>
          <w:szCs w:val="24"/>
          <w:lang w:eastAsia="pl-PL"/>
        </w:rPr>
        <w:t xml:space="preserve">. Był to czas </w:t>
      </w:r>
      <w:r>
        <w:rPr>
          <w:rFonts w:ascii="Times New Roman" w:hAnsi="Times New Roman" w:cs="Times New Roman"/>
          <w:sz w:val="24"/>
          <w:szCs w:val="24"/>
          <w:lang w:eastAsia="pl-PL"/>
        </w:rPr>
        <w:t>niepewnych scenariuszy</w:t>
      </w:r>
      <w:r w:rsidR="001B29CE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nieustannego szacowania skutków oraz dynamicznych zmian makroekonomicznych i prawnych. Dla Zarządu były to szczególnie trudne miesiące, w którym trzeba było odnaleźć się w </w:t>
      </w:r>
      <w:r w:rsidR="00F46C06">
        <w:rPr>
          <w:rFonts w:ascii="Times New Roman" w:hAnsi="Times New Roman" w:cs="Times New Roman"/>
          <w:sz w:val="24"/>
          <w:szCs w:val="24"/>
          <w:lang w:eastAsia="pl-PL"/>
        </w:rPr>
        <w:t xml:space="preserve">nieznanej dotąd </w:t>
      </w:r>
      <w:r>
        <w:rPr>
          <w:rFonts w:ascii="Times New Roman" w:hAnsi="Times New Roman" w:cs="Times New Roman"/>
          <w:sz w:val="24"/>
          <w:szCs w:val="24"/>
          <w:lang w:eastAsia="pl-PL"/>
        </w:rPr>
        <w:t>rzeczywistości, pod</w:t>
      </w:r>
      <w:r w:rsidR="00F46C06">
        <w:rPr>
          <w:rFonts w:ascii="Times New Roman" w:hAnsi="Times New Roman" w:cs="Times New Roman"/>
          <w:sz w:val="24"/>
          <w:szCs w:val="24"/>
          <w:lang w:eastAsia="pl-PL"/>
        </w:rPr>
        <w:t>ejmowa</w:t>
      </w:r>
      <w:r>
        <w:rPr>
          <w:rFonts w:ascii="Times New Roman" w:hAnsi="Times New Roman" w:cs="Times New Roman"/>
          <w:sz w:val="24"/>
          <w:szCs w:val="24"/>
          <w:lang w:eastAsia="pl-PL"/>
        </w:rPr>
        <w:t>ć now</w:t>
      </w:r>
      <w:r w:rsidR="00F46C06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wyzwa</w:t>
      </w:r>
      <w:r w:rsidR="00F46C06">
        <w:rPr>
          <w:rFonts w:ascii="Times New Roman" w:hAnsi="Times New Roman" w:cs="Times New Roman"/>
          <w:sz w:val="24"/>
          <w:szCs w:val="24"/>
          <w:lang w:eastAsia="pl-PL"/>
        </w:rPr>
        <w:t xml:space="preserve">nia i działania ograniczające skutki epidemii oraz przez cały czas pracować </w:t>
      </w:r>
      <w:r w:rsidR="00357196">
        <w:rPr>
          <w:rFonts w:ascii="Times New Roman" w:hAnsi="Times New Roman" w:cs="Times New Roman"/>
          <w:sz w:val="24"/>
          <w:szCs w:val="24"/>
          <w:lang w:eastAsia="pl-PL"/>
        </w:rPr>
        <w:t xml:space="preserve">ze zdwojoną siłą </w:t>
      </w:r>
      <w:r>
        <w:rPr>
          <w:rFonts w:ascii="Times New Roman" w:hAnsi="Times New Roman" w:cs="Times New Roman"/>
          <w:sz w:val="24"/>
          <w:szCs w:val="24"/>
          <w:lang w:eastAsia="pl-PL"/>
        </w:rPr>
        <w:t>pod presją z</w:t>
      </w:r>
      <w:r w:rsidR="00F46C06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>gro</w:t>
      </w:r>
      <w:r w:rsidR="00F46C06">
        <w:rPr>
          <w:rFonts w:ascii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hAnsi="Times New Roman" w:cs="Times New Roman"/>
          <w:sz w:val="24"/>
          <w:szCs w:val="24"/>
          <w:lang w:eastAsia="pl-PL"/>
        </w:rPr>
        <w:t>enia i niep</w:t>
      </w:r>
      <w:r w:rsidR="00F46C06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wno</w:t>
      </w:r>
      <w:r w:rsidR="00F46C06">
        <w:rPr>
          <w:rFonts w:ascii="Times New 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hAnsi="Times New Roman" w:cs="Times New Roman"/>
          <w:sz w:val="24"/>
          <w:szCs w:val="24"/>
          <w:lang w:eastAsia="pl-PL"/>
        </w:rPr>
        <w:t>ci</w:t>
      </w:r>
      <w:r w:rsidR="00F46C06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6F941EAA" w14:textId="0A851DC5" w:rsidR="008D7D1D" w:rsidRDefault="00F46C06" w:rsidP="00D557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tę szczególną sytuację </w:t>
      </w:r>
      <w:r w:rsidR="00F747A8">
        <w:rPr>
          <w:rFonts w:ascii="Times New Roman" w:hAnsi="Times New Roman" w:cs="Times New Roman"/>
          <w:sz w:val="24"/>
          <w:szCs w:val="24"/>
          <w:lang w:eastAsia="pl-PL"/>
        </w:rPr>
        <w:t xml:space="preserve">musiały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wpisać </w:t>
      </w:r>
      <w:r w:rsidR="00F747A8">
        <w:rPr>
          <w:rFonts w:ascii="Times New Roman" w:hAnsi="Times New Roman" w:cs="Times New Roman"/>
          <w:sz w:val="24"/>
          <w:szCs w:val="24"/>
          <w:lang w:eastAsia="pl-PL"/>
        </w:rPr>
        <w:t xml:space="preserve">się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także standardowe działania </w:t>
      </w:r>
      <w:r w:rsidR="00357196">
        <w:rPr>
          <w:rFonts w:ascii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realizacj</w:t>
      </w:r>
      <w:r w:rsidR="00F747A8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ustawowych, statu</w:t>
      </w:r>
      <w:r w:rsidR="00357196">
        <w:rPr>
          <w:rFonts w:ascii="Times New Roman" w:hAnsi="Times New Roman" w:cs="Times New Roman"/>
          <w:sz w:val="24"/>
          <w:szCs w:val="24"/>
          <w:lang w:eastAsia="pl-PL"/>
        </w:rPr>
        <w:t xml:space="preserve">towych </w:t>
      </w:r>
      <w:r>
        <w:rPr>
          <w:rFonts w:ascii="Times New Roman" w:hAnsi="Times New Roman" w:cs="Times New Roman"/>
          <w:sz w:val="24"/>
          <w:szCs w:val="24"/>
          <w:lang w:eastAsia="pl-PL"/>
        </w:rPr>
        <w:t>i regulacyjnych zadań banku</w:t>
      </w:r>
      <w:r w:rsidR="00F747A8">
        <w:rPr>
          <w:rFonts w:ascii="Times New Roman" w:hAnsi="Times New Roman" w:cs="Times New Roman"/>
          <w:sz w:val="24"/>
          <w:szCs w:val="24"/>
          <w:lang w:eastAsia="pl-PL"/>
        </w:rPr>
        <w:t xml:space="preserve">. Zarząd był zmuszony przy tym </w:t>
      </w:r>
      <w:r w:rsidR="00357196">
        <w:rPr>
          <w:rFonts w:ascii="Times New Roman" w:hAnsi="Times New Roman" w:cs="Times New Roman"/>
          <w:sz w:val="24"/>
          <w:szCs w:val="24"/>
          <w:lang w:eastAsia="pl-PL"/>
        </w:rPr>
        <w:t>wykazać zwielokrotnioną troskę o bezpieczeństwo, kondycję ekonomiczn</w:t>
      </w:r>
      <w:r w:rsidR="00F747A8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357196">
        <w:rPr>
          <w:rFonts w:ascii="Times New Roman" w:hAnsi="Times New Roman" w:cs="Times New Roman"/>
          <w:sz w:val="24"/>
          <w:szCs w:val="24"/>
          <w:lang w:eastAsia="pl-PL"/>
        </w:rPr>
        <w:t xml:space="preserve"> banku i </w:t>
      </w:r>
      <w:r w:rsidR="00F747A8">
        <w:rPr>
          <w:rFonts w:ascii="Times New Roman" w:hAnsi="Times New Roman" w:cs="Times New Roman"/>
          <w:sz w:val="24"/>
          <w:szCs w:val="24"/>
          <w:lang w:eastAsia="pl-PL"/>
        </w:rPr>
        <w:t xml:space="preserve">szybko reagować na zmiany </w:t>
      </w:r>
      <w:r w:rsidR="001B29CE">
        <w:rPr>
          <w:rFonts w:ascii="Times New Roman" w:hAnsi="Times New Roman" w:cs="Times New Roman"/>
          <w:sz w:val="24"/>
          <w:szCs w:val="24"/>
          <w:lang w:eastAsia="pl-PL"/>
        </w:rPr>
        <w:t xml:space="preserve">zachodzące </w:t>
      </w:r>
      <w:r w:rsidR="00F747A8">
        <w:rPr>
          <w:rFonts w:ascii="Times New Roman" w:hAnsi="Times New Roman" w:cs="Times New Roman"/>
          <w:sz w:val="24"/>
          <w:szCs w:val="24"/>
          <w:lang w:eastAsia="pl-PL"/>
        </w:rPr>
        <w:t xml:space="preserve">w poziomie </w:t>
      </w:r>
      <w:r w:rsidR="001B29CE">
        <w:rPr>
          <w:rFonts w:ascii="Times New Roman" w:hAnsi="Times New Roman" w:cs="Times New Roman"/>
          <w:sz w:val="24"/>
          <w:szCs w:val="24"/>
          <w:lang w:eastAsia="pl-PL"/>
        </w:rPr>
        <w:t xml:space="preserve">i profilu </w:t>
      </w:r>
      <w:r w:rsidR="00F747A8">
        <w:rPr>
          <w:rFonts w:ascii="Times New Roman" w:hAnsi="Times New Roman" w:cs="Times New Roman"/>
          <w:sz w:val="24"/>
          <w:szCs w:val="24"/>
          <w:lang w:eastAsia="pl-PL"/>
        </w:rPr>
        <w:t xml:space="preserve">ryzyka. Dlatego w działaniach </w:t>
      </w:r>
      <w:r w:rsidR="00D557CE">
        <w:rPr>
          <w:rFonts w:ascii="Times New Roman" w:hAnsi="Times New Roman" w:cs="Times New Roman"/>
          <w:sz w:val="24"/>
          <w:szCs w:val="24"/>
          <w:lang w:eastAsia="pl-PL"/>
        </w:rPr>
        <w:t xml:space="preserve">podejmowanych </w:t>
      </w:r>
      <w:r w:rsidR="00F747A8">
        <w:rPr>
          <w:rFonts w:ascii="Times New Roman" w:hAnsi="Times New Roman" w:cs="Times New Roman"/>
          <w:sz w:val="24"/>
          <w:szCs w:val="24"/>
          <w:lang w:eastAsia="pl-PL"/>
        </w:rPr>
        <w:t xml:space="preserve">w obszarach zarządzania bankiem i jego ryzykiem, </w:t>
      </w:r>
      <w:r w:rsidR="00D557CE">
        <w:rPr>
          <w:rFonts w:ascii="Times New Roman" w:hAnsi="Times New Roman" w:cs="Times New Roman"/>
          <w:sz w:val="24"/>
          <w:szCs w:val="24"/>
          <w:lang w:eastAsia="pl-PL"/>
        </w:rPr>
        <w:t xml:space="preserve">nie wystarczały wypracowane schematy, analizy lub scenariusze, a niepewność i ryzyko 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 xml:space="preserve">towarzyszyły </w:t>
      </w:r>
      <w:r w:rsidR="00D557CE">
        <w:rPr>
          <w:rFonts w:ascii="Times New Roman" w:hAnsi="Times New Roman" w:cs="Times New Roman"/>
          <w:sz w:val="24"/>
          <w:szCs w:val="24"/>
          <w:lang w:eastAsia="pl-PL"/>
        </w:rPr>
        <w:t>w minionym roku każdej decyzji i działani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D557CE">
        <w:rPr>
          <w:rFonts w:ascii="Times New Roman" w:hAnsi="Times New Roman" w:cs="Times New Roman"/>
          <w:sz w:val="24"/>
          <w:szCs w:val="24"/>
          <w:lang w:eastAsia="pl-PL"/>
        </w:rPr>
        <w:t xml:space="preserve"> w sposób szczególnie namacalny. Niezależnie od tego, r</w:t>
      </w:r>
      <w:r w:rsidR="008D7D1D" w:rsidRPr="008D7D1D">
        <w:rPr>
          <w:rFonts w:ascii="Times New Roman" w:hAnsi="Times New Roman" w:cs="Times New Roman"/>
          <w:sz w:val="24"/>
          <w:szCs w:val="24"/>
          <w:lang w:eastAsia="pl-PL"/>
        </w:rPr>
        <w:t xml:space="preserve">ok 2020 był ostatnim </w:t>
      </w:r>
      <w:r w:rsidR="00BF6A0F">
        <w:rPr>
          <w:rFonts w:ascii="Times New Roman" w:hAnsi="Times New Roman" w:cs="Times New Roman"/>
          <w:sz w:val="24"/>
          <w:szCs w:val="24"/>
          <w:lang w:eastAsia="pl-PL"/>
        </w:rPr>
        <w:t>stadium r</w:t>
      </w:r>
      <w:r w:rsidR="008D7D1D" w:rsidRPr="008D7D1D">
        <w:rPr>
          <w:rFonts w:ascii="Times New Roman" w:hAnsi="Times New Roman" w:cs="Times New Roman"/>
          <w:sz w:val="24"/>
          <w:szCs w:val="24"/>
          <w:lang w:eastAsia="pl-PL"/>
        </w:rPr>
        <w:t xml:space="preserve">ealizacji długoterminowej strategii rozwoju </w:t>
      </w:r>
      <w:r w:rsidR="00BF6A0F"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="008D7D1D" w:rsidRPr="008D7D1D">
        <w:rPr>
          <w:rFonts w:ascii="Times New Roman" w:hAnsi="Times New Roman" w:cs="Times New Roman"/>
          <w:sz w:val="24"/>
          <w:szCs w:val="24"/>
          <w:lang w:eastAsia="pl-PL"/>
        </w:rPr>
        <w:t>anku</w:t>
      </w:r>
      <w:r w:rsidR="00BF6A0F">
        <w:rPr>
          <w:rFonts w:ascii="Times New Roman" w:hAnsi="Times New Roman" w:cs="Times New Roman"/>
          <w:sz w:val="24"/>
          <w:szCs w:val="24"/>
          <w:lang w:eastAsia="pl-PL"/>
        </w:rPr>
        <w:t xml:space="preserve">, co </w:t>
      </w:r>
      <w:r w:rsidR="00BF6A0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oznaczało, że w tym trudnym czasie Zarząd przystąpił do </w:t>
      </w:r>
      <w:r w:rsidR="008D7D1D" w:rsidRPr="008D7D1D">
        <w:rPr>
          <w:rFonts w:ascii="Times New Roman" w:hAnsi="Times New Roman" w:cs="Times New Roman"/>
          <w:sz w:val="24"/>
          <w:szCs w:val="24"/>
          <w:lang w:eastAsia="pl-PL"/>
        </w:rPr>
        <w:t>budowania nowej strategii</w:t>
      </w:r>
      <w:r w:rsidR="00BF6A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 xml:space="preserve">działania na kolejne lata. </w:t>
      </w:r>
      <w:r w:rsidR="008D7D1D" w:rsidRPr="008D7D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06952C6" w14:textId="0254FEFE" w:rsidR="00655F33" w:rsidRDefault="00BF6A0F" w:rsidP="00655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6A0F">
        <w:rPr>
          <w:rFonts w:ascii="Times New Roman" w:hAnsi="Times New Roman" w:cs="Times New Roman"/>
          <w:sz w:val="24"/>
          <w:szCs w:val="24"/>
          <w:lang w:eastAsia="pl-PL"/>
        </w:rPr>
        <w:t>Zarząd banku w okresie od 1 stycznia do 31 grudnia 2020 r. odby</w:t>
      </w:r>
      <w:r>
        <w:rPr>
          <w:rFonts w:ascii="Times New Roman" w:hAnsi="Times New Roman" w:cs="Times New Roman"/>
          <w:sz w:val="24"/>
          <w:szCs w:val="24"/>
          <w:lang w:eastAsia="pl-PL"/>
        </w:rPr>
        <w:t>ł</w:t>
      </w:r>
      <w:r w:rsidRPr="00BF6A0F">
        <w:rPr>
          <w:rFonts w:ascii="Times New Roman" w:hAnsi="Times New Roman" w:cs="Times New Roman"/>
          <w:sz w:val="24"/>
          <w:szCs w:val="24"/>
          <w:lang w:eastAsia="pl-PL"/>
        </w:rPr>
        <w:t xml:space="preserve"> 54 protokołowane posiedzenia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F6A0F">
        <w:rPr>
          <w:rFonts w:ascii="Times New Roman" w:hAnsi="Times New Roman" w:cs="Times New Roman"/>
          <w:sz w:val="24"/>
          <w:szCs w:val="24"/>
          <w:lang w:eastAsia="pl-PL"/>
        </w:rPr>
        <w:t xml:space="preserve"> podejmując w ich trakcie 122 uchwał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BF6A0F">
        <w:rPr>
          <w:rFonts w:ascii="Times New Roman" w:hAnsi="Times New Roman" w:cs="Times New Roman"/>
          <w:sz w:val="24"/>
          <w:szCs w:val="24"/>
          <w:lang w:eastAsia="pl-PL"/>
        </w:rPr>
        <w:t>. Rozstrzygnięcia Zarządu dotyczyły wszystkich obszarów zarządzania bankiem niezastrzeżonych do kompetencji innych organów, w tym w szczególności do Rady Nadzorczej.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F6A0F">
        <w:rPr>
          <w:rFonts w:ascii="Times New Roman" w:hAnsi="Times New Roman" w:cs="Times New Roman"/>
          <w:sz w:val="24"/>
          <w:szCs w:val="24"/>
          <w:lang w:eastAsia="pl-PL"/>
        </w:rPr>
        <w:t xml:space="preserve">Problematyka posiedzeń była skorelowana z planem pracy na 2020 r., który jednak podlegał weryfikacji pod kątem działań i decyzji wynikających z bieżących potrzeb banku, a w szczególności z konieczności szybkiego reagowania na stan zagrożenia i ograniczenia rządowe związane z epidemią oraz dynamiczne zmiany uwarunkowań prawnych i rynkowych. Tematyka 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 xml:space="preserve">posiedzeń Zarządu </w:t>
      </w:r>
      <w:r w:rsidRPr="00BF6A0F">
        <w:rPr>
          <w:rFonts w:ascii="Times New Roman" w:hAnsi="Times New Roman" w:cs="Times New Roman"/>
          <w:sz w:val="24"/>
          <w:szCs w:val="24"/>
          <w:lang w:eastAsia="pl-PL"/>
        </w:rPr>
        <w:t>dotyczyła wszystkich obszarów działania</w:t>
      </w:r>
      <w:r w:rsidR="00655F33">
        <w:rPr>
          <w:rFonts w:ascii="Times New Roman" w:hAnsi="Times New Roman" w:cs="Times New Roman"/>
          <w:sz w:val="24"/>
          <w:szCs w:val="24"/>
          <w:lang w:eastAsia="pl-PL"/>
        </w:rPr>
        <w:t xml:space="preserve"> banku, w tym w szczególności: </w:t>
      </w:r>
    </w:p>
    <w:p w14:paraId="039948E1" w14:textId="77777777" w:rsidR="00655F33" w:rsidRDefault="00BF6A0F" w:rsidP="00655F33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5F33">
        <w:rPr>
          <w:rFonts w:ascii="Times New Roman" w:hAnsi="Times New Roman" w:cs="Times New Roman"/>
          <w:sz w:val="24"/>
          <w:szCs w:val="24"/>
          <w:lang w:eastAsia="pl-PL"/>
        </w:rPr>
        <w:t xml:space="preserve">zarządzania organizacją i kadrami, </w:t>
      </w:r>
    </w:p>
    <w:p w14:paraId="2A8D9623" w14:textId="77777777" w:rsidR="00655F33" w:rsidRDefault="00BF6A0F" w:rsidP="00655F33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5F33">
        <w:rPr>
          <w:rFonts w:ascii="Times New Roman" w:hAnsi="Times New Roman" w:cs="Times New Roman"/>
          <w:sz w:val="24"/>
          <w:szCs w:val="24"/>
          <w:lang w:eastAsia="pl-PL"/>
        </w:rPr>
        <w:t xml:space="preserve">zarządzania bezpieczeństwem we wszystkich aspektach istotnych dla banku, </w:t>
      </w:r>
    </w:p>
    <w:p w14:paraId="14C5919D" w14:textId="77777777" w:rsidR="00655F33" w:rsidRDefault="00BF6A0F" w:rsidP="00655F33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5F33">
        <w:rPr>
          <w:rFonts w:ascii="Times New Roman" w:hAnsi="Times New Roman" w:cs="Times New Roman"/>
          <w:sz w:val="24"/>
          <w:szCs w:val="24"/>
          <w:lang w:eastAsia="pl-PL"/>
        </w:rPr>
        <w:t>działalności biznesowej,</w:t>
      </w:r>
    </w:p>
    <w:p w14:paraId="7A6FDFCA" w14:textId="77777777" w:rsidR="00655F33" w:rsidRDefault="00BF6A0F" w:rsidP="00655F33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5F33">
        <w:rPr>
          <w:rFonts w:ascii="Times New Roman" w:hAnsi="Times New Roman" w:cs="Times New Roman"/>
          <w:sz w:val="24"/>
          <w:szCs w:val="24"/>
          <w:lang w:eastAsia="pl-PL"/>
        </w:rPr>
        <w:t>działalności statutowej i regulacyjnej,</w:t>
      </w:r>
    </w:p>
    <w:p w14:paraId="30E94B95" w14:textId="77777777" w:rsidR="00655F33" w:rsidRDefault="00BF6A0F" w:rsidP="00655F33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5F33">
        <w:rPr>
          <w:rFonts w:ascii="Times New Roman" w:hAnsi="Times New Roman" w:cs="Times New Roman"/>
          <w:sz w:val="24"/>
          <w:szCs w:val="24"/>
          <w:lang w:eastAsia="pl-PL"/>
        </w:rPr>
        <w:t>zarządzania ryzykiem i adekwatnością kapitałową,</w:t>
      </w:r>
    </w:p>
    <w:p w14:paraId="01056F12" w14:textId="77777777" w:rsidR="00655F33" w:rsidRDefault="00BF6A0F" w:rsidP="00655F33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5F33">
        <w:rPr>
          <w:rFonts w:ascii="Times New Roman" w:hAnsi="Times New Roman" w:cs="Times New Roman"/>
          <w:sz w:val="24"/>
          <w:szCs w:val="24"/>
          <w:lang w:eastAsia="pl-PL"/>
        </w:rPr>
        <w:t xml:space="preserve">systemu kontroli wewnętrznej, </w:t>
      </w:r>
    </w:p>
    <w:p w14:paraId="4882B425" w14:textId="77777777" w:rsidR="00655F33" w:rsidRDefault="00BF6A0F" w:rsidP="00655F33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5F33">
        <w:rPr>
          <w:rFonts w:ascii="Times New Roman" w:hAnsi="Times New Roman" w:cs="Times New Roman"/>
          <w:sz w:val="24"/>
          <w:szCs w:val="24"/>
          <w:lang w:eastAsia="pl-PL"/>
        </w:rPr>
        <w:t>rachunkowości i sprawozdawczości finansowej,</w:t>
      </w:r>
    </w:p>
    <w:p w14:paraId="5945C888" w14:textId="77777777" w:rsidR="00655F33" w:rsidRDefault="00BF6A0F" w:rsidP="00655F33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5F33">
        <w:rPr>
          <w:rFonts w:ascii="Times New Roman" w:hAnsi="Times New Roman" w:cs="Times New Roman"/>
          <w:sz w:val="24"/>
          <w:szCs w:val="24"/>
          <w:lang w:eastAsia="pl-PL"/>
        </w:rPr>
        <w:t xml:space="preserve">inwestycji i rozwoju banku, </w:t>
      </w:r>
    </w:p>
    <w:p w14:paraId="652AED95" w14:textId="77777777" w:rsidR="00BF6A0F" w:rsidRPr="00655F33" w:rsidRDefault="00BF6A0F" w:rsidP="00655F33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5F33">
        <w:rPr>
          <w:rFonts w:ascii="Times New Roman" w:hAnsi="Times New Roman" w:cs="Times New Roman"/>
          <w:sz w:val="24"/>
          <w:szCs w:val="24"/>
          <w:lang w:eastAsia="pl-PL"/>
        </w:rPr>
        <w:t>działalności promocyjnej i marketingu.</w:t>
      </w:r>
    </w:p>
    <w:p w14:paraId="3AE967B6" w14:textId="08354883" w:rsidR="006E3D5E" w:rsidRDefault="00655F33" w:rsidP="00490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Ponadto </w:t>
      </w:r>
      <w:r w:rsidR="006E3D5E">
        <w:rPr>
          <w:rFonts w:ascii="Times New Roman" w:hAnsi="Times New Roman" w:cs="Times New Roman"/>
          <w:sz w:val="24"/>
          <w:szCs w:val="24"/>
          <w:lang w:eastAsia="pl-PL"/>
        </w:rPr>
        <w:t xml:space="preserve">Zarząd banku dokonywał systematycznej oceny realizacji założeń strategii banku i polityki kredytowej, monitorował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bieżąco </w:t>
      </w:r>
      <w:r w:rsidR="006E3D5E">
        <w:rPr>
          <w:rFonts w:ascii="Times New Roman" w:hAnsi="Times New Roman" w:cs="Times New Roman"/>
          <w:sz w:val="24"/>
          <w:szCs w:val="24"/>
          <w:lang w:eastAsia="pl-PL"/>
        </w:rPr>
        <w:t xml:space="preserve">realizację planu finansowego 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 xml:space="preserve">uchwalonego </w:t>
      </w:r>
      <w:r w:rsidR="0071028C">
        <w:rPr>
          <w:rFonts w:ascii="Times New Roman" w:hAnsi="Times New Roman" w:cs="Times New Roman"/>
          <w:sz w:val="24"/>
          <w:szCs w:val="24"/>
          <w:lang w:eastAsia="pl-PL"/>
        </w:rPr>
        <w:t>na 2020</w:t>
      </w:r>
      <w:r w:rsidR="006E3D5E">
        <w:rPr>
          <w:rFonts w:ascii="Times New Roman" w:hAnsi="Times New Roman" w:cs="Times New Roman"/>
          <w:sz w:val="24"/>
          <w:szCs w:val="24"/>
          <w:lang w:eastAsia="pl-PL"/>
        </w:rPr>
        <w:t xml:space="preserve"> rok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6E3D5E">
        <w:rPr>
          <w:rFonts w:ascii="Times New Roman" w:hAnsi="Times New Roman" w:cs="Times New Roman"/>
          <w:sz w:val="24"/>
          <w:szCs w:val="24"/>
          <w:lang w:eastAsia="pl-PL"/>
        </w:rPr>
        <w:t xml:space="preserve">oceniał sytuację 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 xml:space="preserve">ekonomiczną </w:t>
      </w:r>
      <w:r w:rsidR="006E3D5E">
        <w:rPr>
          <w:rFonts w:ascii="Times New Roman" w:hAnsi="Times New Roman" w:cs="Times New Roman"/>
          <w:sz w:val="24"/>
          <w:szCs w:val="24"/>
          <w:lang w:eastAsia="pl-PL"/>
        </w:rPr>
        <w:t>banku, a także regularnie analizował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E3D5E" w:rsidRPr="006E4011">
        <w:rPr>
          <w:rFonts w:ascii="Times New Roman" w:hAnsi="Times New Roman" w:cs="Times New Roman"/>
          <w:sz w:val="24"/>
          <w:szCs w:val="24"/>
          <w:lang w:eastAsia="pl-PL"/>
        </w:rPr>
        <w:t xml:space="preserve">stopień narażenia banku na występujące w jego działalności </w:t>
      </w:r>
      <w:r w:rsidR="006E3D5E">
        <w:rPr>
          <w:rFonts w:ascii="Times New Roman" w:hAnsi="Times New Roman" w:cs="Times New Roman"/>
          <w:sz w:val="24"/>
          <w:szCs w:val="24"/>
          <w:lang w:eastAsia="pl-PL"/>
        </w:rPr>
        <w:t>istotne ry</w:t>
      </w:r>
      <w:r w:rsidR="006E3D5E" w:rsidRPr="006E4011">
        <w:rPr>
          <w:rFonts w:ascii="Times New Roman" w:hAnsi="Times New Roman" w:cs="Times New Roman"/>
          <w:sz w:val="24"/>
          <w:szCs w:val="24"/>
          <w:lang w:eastAsia="pl-PL"/>
        </w:rPr>
        <w:t>zyka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6E3D5E" w:rsidRPr="006E401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 xml:space="preserve">oceniał </w:t>
      </w:r>
      <w:r w:rsidR="006E3D5E">
        <w:rPr>
          <w:rFonts w:ascii="Times New Roman" w:hAnsi="Times New Roman" w:cs="Times New Roman"/>
          <w:sz w:val="24"/>
          <w:szCs w:val="24"/>
          <w:lang w:eastAsia="pl-PL"/>
        </w:rPr>
        <w:t>adekwatność ustalonych li</w:t>
      </w:r>
      <w:r w:rsidR="00005B9D">
        <w:rPr>
          <w:rFonts w:ascii="Times New Roman" w:hAnsi="Times New Roman" w:cs="Times New Roman"/>
          <w:sz w:val="24"/>
          <w:szCs w:val="24"/>
          <w:lang w:eastAsia="pl-PL"/>
        </w:rPr>
        <w:t>mitów wewnętrznych ograniczających</w:t>
      </w:r>
      <w:r w:rsidR="006E3D5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 xml:space="preserve">to </w:t>
      </w:r>
      <w:r w:rsidR="006E3D5E">
        <w:rPr>
          <w:rFonts w:ascii="Times New Roman" w:hAnsi="Times New Roman" w:cs="Times New Roman"/>
          <w:sz w:val="24"/>
          <w:szCs w:val="24"/>
          <w:lang w:eastAsia="pl-PL"/>
        </w:rPr>
        <w:t>ryzyko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6E3D5E" w:rsidRPr="00490FF0">
        <w:rPr>
          <w:rFonts w:ascii="Times New Roman" w:hAnsi="Times New Roman" w:cs="Times New Roman"/>
          <w:sz w:val="24"/>
          <w:szCs w:val="24"/>
          <w:lang w:eastAsia="pl-PL"/>
        </w:rPr>
        <w:t>Ponadto Zarząd analizował raporty i sprawozdania z ryzyka braku zgodności, kontroli wewnętrznej, bezpieczeństwa teleinformatycznego i jakości danych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 xml:space="preserve"> oraz</w:t>
      </w:r>
      <w:r w:rsidR="006E3D5E" w:rsidRPr="00490FF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E3D5E">
        <w:rPr>
          <w:rFonts w:ascii="Times New Roman" w:hAnsi="Times New Roman" w:cs="Times New Roman"/>
          <w:sz w:val="24"/>
          <w:szCs w:val="24"/>
          <w:lang w:eastAsia="pl-PL"/>
        </w:rPr>
        <w:t xml:space="preserve">monitorował </w:t>
      </w:r>
      <w:r w:rsidR="00005B9D">
        <w:rPr>
          <w:rFonts w:ascii="Times New Roman" w:hAnsi="Times New Roman" w:cs="Times New Roman"/>
          <w:sz w:val="24"/>
          <w:szCs w:val="24"/>
          <w:lang w:eastAsia="pl-PL"/>
        </w:rPr>
        <w:t>realizację zaleceń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 xml:space="preserve">wydanych przez organ nadzoru i realizację ustawowych obowiązków banku. </w:t>
      </w:r>
      <w:r w:rsidR="006E3D5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73C9141" w14:textId="453DC20E" w:rsidR="001C1647" w:rsidRPr="007C7AA5" w:rsidRDefault="006E3D5E" w:rsidP="00AA08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Z przeglądu tematyki ubiegłorocznych posiedzeń </w:t>
      </w:r>
      <w:r w:rsidR="008E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nasuwa się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wniosek, że Zarząd podejmował liczne działania i decyzje zarządcze we wszystkich obszarach działalności banku. Zakres i skala trudności wielu rozstrzygnięć potwierdza</w:t>
      </w:r>
      <w:r w:rsidR="00005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 Zarząd wywiązywał</w:t>
      </w:r>
      <w:r w:rsidR="00005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3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się 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zaplanowanych zadań, </w:t>
      </w:r>
      <w:r w:rsidR="00005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wskazując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znacznie zwiększoną aktywność i konieczność szybkiej reakcji w obliczu dynamicznych zmian w otoczeniu prawnym, regulacyjnym i rynkowym. </w:t>
      </w:r>
      <w:r w:rsidR="008E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8D1B80">
        <w:rPr>
          <w:rFonts w:ascii="Times New Roman" w:hAnsi="Times New Roman" w:cs="Times New Roman"/>
          <w:sz w:val="24"/>
          <w:szCs w:val="24"/>
          <w:lang w:eastAsia="pl-PL"/>
        </w:rPr>
        <w:t xml:space="preserve">e względu na rosnący stopień skomplikowania wielu procesów zachodzących w banku oraz 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 xml:space="preserve">odpowiedzialności z tym związanej, a także z uwagi na pojawiające się nowe zagrożenia, </w:t>
      </w:r>
      <w:r w:rsidR="008E285E" w:rsidRPr="008E285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Zarząd powołał w 2020 r. komitet bezpieczeństwa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 xml:space="preserve">, a także dokonał koniecznych </w:t>
      </w:r>
      <w:r w:rsidR="00FB1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zmian w </w:t>
      </w:r>
      <w:r w:rsidR="001C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strukturze organizacyjnej</w:t>
      </w:r>
      <w:r w:rsidR="00AA0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banku. </w:t>
      </w:r>
    </w:p>
    <w:p w14:paraId="599D1FD0" w14:textId="41E01915" w:rsidR="00975AAE" w:rsidRDefault="006E3D5E" w:rsidP="00AA08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Elementem corocznej działalności Zarządu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była 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także realizacja bieżących potrzeb banku wynikających z 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 xml:space="preserve">dbałości o 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>posiadan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 infrastruktur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 oraz zasob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 techniczn</w:t>
      </w:r>
      <w:r w:rsidR="008E285E">
        <w:rPr>
          <w:rFonts w:ascii="Times New Roman" w:hAnsi="Times New Roman" w:cs="Times New Roman"/>
          <w:sz w:val="24"/>
          <w:szCs w:val="24"/>
          <w:lang w:eastAsia="pl-PL"/>
        </w:rPr>
        <w:t xml:space="preserve">e. W tym obszarze dokonano w szczególności </w:t>
      </w:r>
      <w:r w:rsidR="001C1647">
        <w:rPr>
          <w:rFonts w:ascii="Times New Roman" w:hAnsi="Times New Roman" w:cs="Times New Roman"/>
          <w:sz w:val="24"/>
          <w:szCs w:val="24"/>
        </w:rPr>
        <w:t>modernizacj</w:t>
      </w:r>
      <w:r w:rsidR="00AA0844">
        <w:rPr>
          <w:rFonts w:ascii="Times New Roman" w:hAnsi="Times New Roman" w:cs="Times New Roman"/>
          <w:sz w:val="24"/>
          <w:szCs w:val="24"/>
        </w:rPr>
        <w:t>i</w:t>
      </w:r>
      <w:r w:rsidR="00532B1E">
        <w:rPr>
          <w:rFonts w:ascii="Times New Roman" w:hAnsi="Times New Roman" w:cs="Times New Roman"/>
          <w:sz w:val="24"/>
          <w:szCs w:val="24"/>
        </w:rPr>
        <w:t xml:space="preserve"> II Oddziału w Gnieźnie</w:t>
      </w:r>
      <w:r w:rsidR="00AA0844">
        <w:rPr>
          <w:rFonts w:ascii="Times New Roman" w:hAnsi="Times New Roman" w:cs="Times New Roman"/>
          <w:sz w:val="24"/>
          <w:szCs w:val="24"/>
        </w:rPr>
        <w:t xml:space="preserve"> i </w:t>
      </w:r>
      <w:r w:rsidR="00532B1E">
        <w:rPr>
          <w:rFonts w:ascii="Times New Roman" w:hAnsi="Times New Roman" w:cs="Times New Roman"/>
          <w:sz w:val="24"/>
          <w:szCs w:val="24"/>
        </w:rPr>
        <w:t>przebudow</w:t>
      </w:r>
      <w:r w:rsidR="00AA0844">
        <w:rPr>
          <w:rFonts w:ascii="Times New Roman" w:hAnsi="Times New Roman" w:cs="Times New Roman"/>
          <w:sz w:val="24"/>
          <w:szCs w:val="24"/>
        </w:rPr>
        <w:t>y</w:t>
      </w:r>
      <w:r w:rsidR="00532B1E">
        <w:rPr>
          <w:rFonts w:ascii="Times New Roman" w:hAnsi="Times New Roman" w:cs="Times New Roman"/>
          <w:sz w:val="24"/>
          <w:szCs w:val="24"/>
        </w:rPr>
        <w:t xml:space="preserve"> instalacji grzewczej w Oddziale w Skokach</w:t>
      </w:r>
      <w:r w:rsidR="00AA0844">
        <w:rPr>
          <w:rFonts w:ascii="Times New Roman" w:hAnsi="Times New Roman" w:cs="Times New Roman"/>
          <w:sz w:val="24"/>
          <w:szCs w:val="24"/>
        </w:rPr>
        <w:t>. W</w:t>
      </w:r>
      <w:r w:rsidR="00C42CE9">
        <w:rPr>
          <w:rFonts w:ascii="Times New Roman" w:hAnsi="Times New Roman" w:cs="Times New Roman"/>
          <w:sz w:val="24"/>
          <w:szCs w:val="24"/>
        </w:rPr>
        <w:t>śród środków bezpieczeństwa związanych z zagrożeniem CO</w:t>
      </w:r>
      <w:r w:rsidR="00AA0844">
        <w:rPr>
          <w:rFonts w:ascii="Times New Roman" w:hAnsi="Times New Roman" w:cs="Times New Roman"/>
          <w:sz w:val="24"/>
          <w:szCs w:val="24"/>
        </w:rPr>
        <w:t xml:space="preserve">VID-19 na niektórych stanowiskach pracy </w:t>
      </w:r>
      <w:r w:rsidR="008E285E">
        <w:rPr>
          <w:rFonts w:ascii="Times New Roman" w:hAnsi="Times New Roman" w:cs="Times New Roman"/>
          <w:sz w:val="24"/>
          <w:szCs w:val="24"/>
        </w:rPr>
        <w:t xml:space="preserve">wprowadzono </w:t>
      </w:r>
      <w:r w:rsidR="00AA0844">
        <w:rPr>
          <w:rFonts w:ascii="Times New Roman" w:hAnsi="Times New Roman" w:cs="Times New Roman"/>
          <w:sz w:val="24"/>
          <w:szCs w:val="24"/>
        </w:rPr>
        <w:t xml:space="preserve">pracę zdalną i w tym celu </w:t>
      </w:r>
      <w:r w:rsidR="00532B1E">
        <w:rPr>
          <w:rFonts w:ascii="Times New Roman" w:hAnsi="Times New Roman" w:cs="Times New Roman"/>
          <w:sz w:val="24"/>
          <w:szCs w:val="24"/>
        </w:rPr>
        <w:t>zakup</w:t>
      </w:r>
      <w:r w:rsidR="00AA0844">
        <w:rPr>
          <w:rFonts w:ascii="Times New Roman" w:hAnsi="Times New Roman" w:cs="Times New Roman"/>
          <w:sz w:val="24"/>
          <w:szCs w:val="24"/>
        </w:rPr>
        <w:t>iono</w:t>
      </w:r>
      <w:r w:rsidR="00532B1E">
        <w:rPr>
          <w:rFonts w:ascii="Times New Roman" w:hAnsi="Times New Roman" w:cs="Times New Roman"/>
          <w:sz w:val="24"/>
          <w:szCs w:val="24"/>
        </w:rPr>
        <w:t xml:space="preserve"> laptop</w:t>
      </w:r>
      <w:r w:rsidR="00AA0844">
        <w:rPr>
          <w:rFonts w:ascii="Times New Roman" w:hAnsi="Times New Roman" w:cs="Times New Roman"/>
          <w:sz w:val="24"/>
          <w:szCs w:val="24"/>
        </w:rPr>
        <w:t>y</w:t>
      </w:r>
      <w:r w:rsidR="00532B1E">
        <w:rPr>
          <w:rFonts w:ascii="Times New Roman" w:hAnsi="Times New Roman" w:cs="Times New Roman"/>
          <w:sz w:val="24"/>
          <w:szCs w:val="24"/>
        </w:rPr>
        <w:t xml:space="preserve"> </w:t>
      </w:r>
      <w:r w:rsidR="00AA0844">
        <w:rPr>
          <w:rFonts w:ascii="Times New Roman" w:hAnsi="Times New Roman" w:cs="Times New Roman"/>
          <w:sz w:val="24"/>
          <w:szCs w:val="24"/>
        </w:rPr>
        <w:t>dla pracowników</w:t>
      </w:r>
      <w:r w:rsidR="00C42CE9">
        <w:rPr>
          <w:rFonts w:ascii="Times New Roman" w:hAnsi="Times New Roman" w:cs="Times New Roman"/>
          <w:sz w:val="24"/>
          <w:szCs w:val="24"/>
        </w:rPr>
        <w:t xml:space="preserve"> banku. P</w:t>
      </w:r>
      <w:r w:rsidR="00AA0844">
        <w:rPr>
          <w:rFonts w:ascii="Times New Roman" w:hAnsi="Times New Roman" w:cs="Times New Roman"/>
          <w:sz w:val="24"/>
          <w:szCs w:val="24"/>
        </w:rPr>
        <w:t xml:space="preserve">oczyniono </w:t>
      </w:r>
      <w:r w:rsidR="00C42CE9">
        <w:rPr>
          <w:rFonts w:ascii="Times New Roman" w:hAnsi="Times New Roman" w:cs="Times New Roman"/>
          <w:sz w:val="24"/>
          <w:szCs w:val="24"/>
        </w:rPr>
        <w:t xml:space="preserve">także </w:t>
      </w:r>
      <w:r w:rsidR="00AA0844">
        <w:rPr>
          <w:rFonts w:ascii="Times New Roman" w:hAnsi="Times New Roman" w:cs="Times New Roman"/>
          <w:sz w:val="24"/>
          <w:szCs w:val="24"/>
        </w:rPr>
        <w:t>inne nakłady w obszarze IT</w:t>
      </w:r>
      <w:r w:rsidR="00C42CE9">
        <w:rPr>
          <w:rFonts w:ascii="Times New Roman" w:hAnsi="Times New Roman" w:cs="Times New Roman"/>
          <w:sz w:val="24"/>
          <w:szCs w:val="24"/>
        </w:rPr>
        <w:t xml:space="preserve">, w tym także w zakresie wdrażania nowych aplikacji dla </w:t>
      </w:r>
      <w:r w:rsidR="00AA0844">
        <w:rPr>
          <w:rFonts w:ascii="Times New Roman" w:hAnsi="Times New Roman" w:cs="Times New Roman"/>
          <w:sz w:val="24"/>
          <w:szCs w:val="24"/>
        </w:rPr>
        <w:t>bankowości elektronicznej</w:t>
      </w:r>
      <w:r w:rsidR="00C42CE9">
        <w:rPr>
          <w:rFonts w:ascii="Times New Roman" w:hAnsi="Times New Roman" w:cs="Times New Roman"/>
          <w:sz w:val="24"/>
          <w:szCs w:val="24"/>
        </w:rPr>
        <w:t xml:space="preserve"> i mobilnej, której rozwój w minionym roku znacznie przyspieszył ze względu na ograniczony dostęp do stacjonarnej obsługi bankowej.  </w:t>
      </w:r>
      <w:r w:rsidR="00AA0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A470D" w14:textId="1009F926" w:rsidR="00E4423D" w:rsidRPr="008E0099" w:rsidRDefault="00AA0844" w:rsidP="00364C30">
      <w:pPr>
        <w:spacing w:line="360" w:lineRule="auto"/>
        <w:ind w:firstLine="426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Szczególna sytuacja </w:t>
      </w:r>
      <w:r w:rsidR="005050C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 minionym roku nie udaremniła działań mających na celu promocję marki banku, </w:t>
      </w:r>
      <w:r w:rsidR="00E4423D" w:rsidRPr="00E4423D">
        <w:rPr>
          <w:rFonts w:ascii="Times New Roman" w:hAnsi="Times New Roman" w:cs="Times New Roman"/>
          <w:iCs/>
          <w:sz w:val="24"/>
          <w:szCs w:val="24"/>
          <w:lang w:eastAsia="pl-PL"/>
        </w:rPr>
        <w:t>któr</w:t>
      </w:r>
      <w:r w:rsidR="005050C3">
        <w:rPr>
          <w:rFonts w:ascii="Times New Roman" w:hAnsi="Times New Roman" w:cs="Times New Roman"/>
          <w:iCs/>
          <w:sz w:val="24"/>
          <w:szCs w:val="24"/>
          <w:lang w:eastAsia="pl-PL"/>
        </w:rPr>
        <w:t>a</w:t>
      </w:r>
      <w:r w:rsidR="00E4423D" w:rsidRPr="00E4423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na przestrzeni ostatnich lat stał</w:t>
      </w:r>
      <w:r w:rsidR="005050C3">
        <w:rPr>
          <w:rFonts w:ascii="Times New Roman" w:hAnsi="Times New Roman" w:cs="Times New Roman"/>
          <w:iCs/>
          <w:sz w:val="24"/>
          <w:szCs w:val="24"/>
          <w:lang w:eastAsia="pl-PL"/>
        </w:rPr>
        <w:t>a</w:t>
      </w:r>
      <w:r w:rsidR="00E4423D" w:rsidRPr="00E4423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się rozpoznawaln</w:t>
      </w:r>
      <w:r w:rsidR="005050C3">
        <w:rPr>
          <w:rFonts w:ascii="Times New Roman" w:hAnsi="Times New Roman" w:cs="Times New Roman"/>
          <w:iCs/>
          <w:sz w:val="24"/>
          <w:szCs w:val="24"/>
          <w:lang w:eastAsia="pl-PL"/>
        </w:rPr>
        <w:t>a</w:t>
      </w:r>
      <w:r w:rsidR="00E4423D" w:rsidRPr="00E4423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na obszarze jego działania</w:t>
      </w:r>
      <w:r w:rsidR="005050C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. Ograniczenia rządowe związane z epidemią spowodowały wszakże mniejszą intensywność tych działań, choćby poprzez znikomą liczbę </w:t>
      </w:r>
      <w:r w:rsidR="00E4423D" w:rsidRPr="00E4423D">
        <w:rPr>
          <w:rFonts w:ascii="Times New Roman" w:hAnsi="Times New Roman" w:cs="Times New Roman"/>
          <w:iCs/>
          <w:sz w:val="24"/>
          <w:szCs w:val="24"/>
          <w:lang w:eastAsia="pl-PL"/>
        </w:rPr>
        <w:t>wydarze</w:t>
      </w:r>
      <w:r w:rsidR="005050C3">
        <w:rPr>
          <w:rFonts w:ascii="Times New Roman" w:hAnsi="Times New Roman" w:cs="Times New Roman"/>
          <w:iCs/>
          <w:sz w:val="24"/>
          <w:szCs w:val="24"/>
          <w:lang w:eastAsia="pl-PL"/>
        </w:rPr>
        <w:t>ń</w:t>
      </w:r>
      <w:r w:rsidR="00E4423D" w:rsidRPr="00E4423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kulturalnych i sportowych </w:t>
      </w:r>
      <w:r w:rsidR="005050C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organizowanych w ubiegłym roku w środowiskach lokalnych. </w:t>
      </w:r>
      <w:r w:rsidR="00A51311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Ubiegłoroczna sytuacja nie wpłynęła natomiast istotnie na realizowanie przez bank </w:t>
      </w:r>
      <w:r w:rsidR="005050C3">
        <w:rPr>
          <w:rFonts w:ascii="Times New Roman" w:hAnsi="Times New Roman" w:cs="Times New Roman"/>
          <w:iCs/>
          <w:sz w:val="24"/>
          <w:szCs w:val="24"/>
          <w:lang w:eastAsia="pl-PL"/>
        </w:rPr>
        <w:t>ide</w:t>
      </w:r>
      <w:r w:rsidR="00A51311">
        <w:rPr>
          <w:rFonts w:ascii="Times New Roman" w:hAnsi="Times New Roman" w:cs="Times New Roman"/>
          <w:iCs/>
          <w:sz w:val="24"/>
          <w:szCs w:val="24"/>
          <w:lang w:eastAsia="pl-PL"/>
        </w:rPr>
        <w:t>i</w:t>
      </w:r>
      <w:r w:rsidR="005050C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społecznej odpowiedzialności biznesu</w:t>
      </w:r>
      <w:r w:rsidR="00A51311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, która </w:t>
      </w:r>
      <w:r w:rsidR="005050C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podobnie jak w latach minionych </w:t>
      </w:r>
      <w:r w:rsidR="00A51311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polegała </w:t>
      </w:r>
      <w:r w:rsidR="005050C3">
        <w:rPr>
          <w:rFonts w:ascii="Times New Roman" w:hAnsi="Times New Roman" w:cs="Times New Roman"/>
          <w:iCs/>
          <w:sz w:val="24"/>
          <w:szCs w:val="24"/>
          <w:lang w:eastAsia="pl-PL"/>
        </w:rPr>
        <w:t>gł</w:t>
      </w:r>
      <w:r w:rsidR="00A51311">
        <w:rPr>
          <w:rFonts w:ascii="Times New Roman" w:hAnsi="Times New Roman" w:cs="Times New Roman"/>
          <w:iCs/>
          <w:sz w:val="24"/>
          <w:szCs w:val="24"/>
          <w:lang w:eastAsia="pl-PL"/>
        </w:rPr>
        <w:t>ó</w:t>
      </w:r>
      <w:r w:rsidR="005050C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wnie na udzielaniu </w:t>
      </w:r>
      <w:r w:rsidR="006E3D5E" w:rsidRPr="00E14A60">
        <w:rPr>
          <w:rFonts w:ascii="Times New Roman" w:hAnsi="Times New Roman" w:cs="Times New Roman"/>
          <w:sz w:val="24"/>
          <w:szCs w:val="24"/>
          <w:lang w:eastAsia="pl-PL"/>
        </w:rPr>
        <w:t>darowizn</w:t>
      </w:r>
      <w:r w:rsidR="005050C3"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r w:rsidR="001735C2">
        <w:rPr>
          <w:rFonts w:ascii="Times New Roman" w:hAnsi="Times New Roman" w:cs="Times New Roman"/>
          <w:sz w:val="24"/>
          <w:szCs w:val="24"/>
          <w:lang w:eastAsia="pl-PL"/>
        </w:rPr>
        <w:t xml:space="preserve">wspieraniu różnych </w:t>
      </w:r>
      <w:r w:rsidR="00A51311">
        <w:rPr>
          <w:rFonts w:ascii="Times New Roman" w:hAnsi="Times New Roman" w:cs="Times New Roman"/>
          <w:sz w:val="24"/>
          <w:szCs w:val="24"/>
          <w:lang w:eastAsia="pl-PL"/>
        </w:rPr>
        <w:t xml:space="preserve">inicjatyw społecznych i charytatywnych. </w:t>
      </w:r>
      <w:r w:rsidR="006E3D5E">
        <w:rPr>
          <w:rFonts w:ascii="Times New Roman" w:hAnsi="Times New Roman" w:cs="Times New Roman"/>
          <w:sz w:val="24"/>
          <w:szCs w:val="24"/>
          <w:lang w:eastAsia="pl-PL"/>
        </w:rPr>
        <w:t>Niewątpliwie cieszący jest fakt, że działania społeczne i biznesowe banku nie pozostały niezauważone, o czym świadcz</w:t>
      </w:r>
      <w:r w:rsidR="00364C30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6E3D5E">
        <w:rPr>
          <w:rFonts w:ascii="Times New Roman" w:hAnsi="Times New Roman" w:cs="Times New Roman"/>
          <w:sz w:val="24"/>
          <w:szCs w:val="24"/>
          <w:lang w:eastAsia="pl-PL"/>
        </w:rPr>
        <w:t xml:space="preserve"> otrzyman</w:t>
      </w:r>
      <w:r w:rsidR="00364C30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6E3D5E">
        <w:rPr>
          <w:rFonts w:ascii="Times New Roman" w:hAnsi="Times New Roman" w:cs="Times New Roman"/>
          <w:sz w:val="24"/>
          <w:szCs w:val="24"/>
          <w:lang w:eastAsia="pl-PL"/>
        </w:rPr>
        <w:t xml:space="preserve"> w ubiegłym roku nagr</w:t>
      </w:r>
      <w:r w:rsidR="00364C30">
        <w:rPr>
          <w:rFonts w:ascii="Times New Roman" w:hAnsi="Times New Roman" w:cs="Times New Roman"/>
          <w:sz w:val="24"/>
          <w:szCs w:val="24"/>
          <w:lang w:eastAsia="pl-PL"/>
        </w:rPr>
        <w:t xml:space="preserve">ody </w:t>
      </w:r>
      <w:r w:rsidR="006E3D5E">
        <w:rPr>
          <w:rFonts w:ascii="Times New Roman" w:hAnsi="Times New Roman" w:cs="Times New Roman"/>
          <w:sz w:val="24"/>
          <w:szCs w:val="24"/>
          <w:lang w:eastAsia="pl-PL"/>
        </w:rPr>
        <w:t>i wyróżnie</w:t>
      </w:r>
      <w:r w:rsidR="00364C30">
        <w:rPr>
          <w:rFonts w:ascii="Times New Roman" w:hAnsi="Times New Roman" w:cs="Times New Roman"/>
          <w:sz w:val="24"/>
          <w:szCs w:val="24"/>
          <w:lang w:eastAsia="pl-PL"/>
        </w:rPr>
        <w:t>nia, a w</w:t>
      </w:r>
      <w:r w:rsidR="006E3D5E">
        <w:rPr>
          <w:rFonts w:ascii="Times New Roman" w:hAnsi="Times New Roman" w:cs="Times New Roman"/>
          <w:sz w:val="24"/>
          <w:szCs w:val="24"/>
          <w:lang w:eastAsia="pl-PL"/>
        </w:rPr>
        <w:t xml:space="preserve">śród nich </w:t>
      </w:r>
      <w:r w:rsidR="00364C30">
        <w:rPr>
          <w:rFonts w:ascii="Times New Roman" w:hAnsi="Times New Roman" w:cs="Times New Roman"/>
          <w:sz w:val="24"/>
          <w:szCs w:val="24"/>
          <w:lang w:eastAsia="pl-PL"/>
        </w:rPr>
        <w:t>choćby n</w:t>
      </w:r>
      <w:r w:rsidR="00E4423D" w:rsidRPr="00A719FC">
        <w:rPr>
          <w:rFonts w:ascii="Times New Roman" w:hAnsi="Times New Roman" w:cs="Times New Roman"/>
          <w:sz w:val="24"/>
          <w:szCs w:val="24"/>
        </w:rPr>
        <w:t xml:space="preserve">ominacja Prezesa </w:t>
      </w:r>
      <w:r w:rsidR="00364C30">
        <w:rPr>
          <w:rFonts w:ascii="Times New Roman" w:hAnsi="Times New Roman" w:cs="Times New Roman"/>
          <w:sz w:val="24"/>
          <w:szCs w:val="24"/>
        </w:rPr>
        <w:t>Zarządu b</w:t>
      </w:r>
      <w:r w:rsidR="00E4423D" w:rsidRPr="00A719FC">
        <w:rPr>
          <w:rFonts w:ascii="Times New Roman" w:hAnsi="Times New Roman" w:cs="Times New Roman"/>
          <w:sz w:val="24"/>
          <w:szCs w:val="24"/>
        </w:rPr>
        <w:t xml:space="preserve">anku w plebiscycie </w:t>
      </w:r>
      <w:r w:rsidR="00364C30">
        <w:rPr>
          <w:rFonts w:ascii="Times New Roman" w:hAnsi="Times New Roman" w:cs="Times New Roman"/>
          <w:sz w:val="24"/>
          <w:szCs w:val="24"/>
        </w:rPr>
        <w:t xml:space="preserve">„Osobowość Roku” czy </w:t>
      </w:r>
      <w:r w:rsidR="00E4423D" w:rsidRPr="00A719FC">
        <w:rPr>
          <w:rFonts w:ascii="Times New Roman" w:hAnsi="Times New Roman" w:cs="Times New Roman"/>
          <w:sz w:val="24"/>
          <w:szCs w:val="24"/>
        </w:rPr>
        <w:t>prestiżowe wyróżnieni</w:t>
      </w:r>
      <w:r w:rsidR="00364C30">
        <w:rPr>
          <w:rFonts w:ascii="Times New Roman" w:hAnsi="Times New Roman" w:cs="Times New Roman"/>
          <w:sz w:val="24"/>
          <w:szCs w:val="24"/>
        </w:rPr>
        <w:t>e</w:t>
      </w:r>
      <w:r w:rsidR="00E4423D" w:rsidRPr="00A719FC">
        <w:rPr>
          <w:rFonts w:ascii="Times New Roman" w:hAnsi="Times New Roman" w:cs="Times New Roman"/>
          <w:sz w:val="24"/>
          <w:szCs w:val="24"/>
        </w:rPr>
        <w:t xml:space="preserve"> Kapituły Programowej Ogólnopolskiego Programu Liderów Bankowości Spółdzielczej</w:t>
      </w:r>
      <w:r w:rsidR="004E520F">
        <w:rPr>
          <w:rFonts w:ascii="Times New Roman" w:hAnsi="Times New Roman" w:cs="Times New Roman"/>
          <w:sz w:val="24"/>
          <w:szCs w:val="24"/>
        </w:rPr>
        <w:t>.</w:t>
      </w:r>
    </w:p>
    <w:p w14:paraId="7FE4AB6A" w14:textId="77777777" w:rsidR="006E3D5E" w:rsidRDefault="006E3D5E" w:rsidP="00E622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8346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III. Informacja finansowa o Banku </w:t>
      </w:r>
    </w:p>
    <w:p w14:paraId="262553D2" w14:textId="77777777" w:rsidR="008C4FAD" w:rsidRDefault="00364C30" w:rsidP="00F93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Szczególna sytuacja </w:t>
      </w:r>
      <w:r w:rsidR="003A233B">
        <w:rPr>
          <w:rFonts w:ascii="Times New Roman" w:hAnsi="Times New Roman" w:cs="Times New Roman"/>
          <w:sz w:val="24"/>
          <w:szCs w:val="24"/>
          <w:lang w:eastAsia="pl-PL"/>
        </w:rPr>
        <w:t xml:space="preserve">związana z epidemią </w:t>
      </w:r>
      <w:r w:rsidR="001735C2">
        <w:rPr>
          <w:rFonts w:ascii="Times New Roman" w:hAnsi="Times New Roman" w:cs="Times New Roman"/>
          <w:sz w:val="24"/>
          <w:szCs w:val="24"/>
          <w:lang w:eastAsia="pl-PL"/>
        </w:rPr>
        <w:t xml:space="preserve">nie mogła pozostać bez wpływu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3A233B">
        <w:rPr>
          <w:rFonts w:ascii="Times New Roman" w:hAnsi="Times New Roman" w:cs="Times New Roman"/>
          <w:sz w:val="24"/>
          <w:szCs w:val="24"/>
          <w:lang w:eastAsia="pl-PL"/>
        </w:rPr>
        <w:t xml:space="preserve">osiągnięcie zaplanowanych wyników </w:t>
      </w:r>
      <w:r>
        <w:rPr>
          <w:rFonts w:ascii="Times New Roman" w:hAnsi="Times New Roman" w:cs="Times New Roman"/>
          <w:sz w:val="24"/>
          <w:szCs w:val="24"/>
          <w:lang w:eastAsia="pl-PL"/>
        </w:rPr>
        <w:t>finansow</w:t>
      </w:r>
      <w:r w:rsidR="003A233B">
        <w:rPr>
          <w:rFonts w:ascii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banku, a </w:t>
      </w:r>
      <w:r w:rsidR="003A233B">
        <w:rPr>
          <w:rFonts w:ascii="Times New Roman" w:hAnsi="Times New Roman" w:cs="Times New Roman"/>
          <w:sz w:val="24"/>
          <w:szCs w:val="24"/>
          <w:lang w:eastAsia="pl-PL"/>
        </w:rPr>
        <w:t xml:space="preserve">skutkiem tej sytuacji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najsilniej oddziałującym </w:t>
      </w:r>
      <w:r w:rsidR="003A233B">
        <w:rPr>
          <w:rFonts w:ascii="Times New Roman" w:hAnsi="Times New Roman" w:cs="Times New Roman"/>
          <w:sz w:val="24"/>
          <w:szCs w:val="24"/>
          <w:lang w:eastAsia="pl-PL"/>
        </w:rPr>
        <w:t xml:space="preserve">na kondycję banku </w:t>
      </w:r>
      <w:r w:rsidR="00EC000F">
        <w:rPr>
          <w:rFonts w:ascii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hAnsi="Times New Roman" w:cs="Times New Roman"/>
          <w:sz w:val="24"/>
          <w:szCs w:val="24"/>
          <w:lang w:eastAsia="pl-PL"/>
        </w:rPr>
        <w:t>yła trzykrotna obniżka stóp procentowych przez Radę Polityki Pienię</w:t>
      </w:r>
      <w:r w:rsidR="00EC000F">
        <w:rPr>
          <w:rFonts w:ascii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hAnsi="Times New Roman" w:cs="Times New Roman"/>
          <w:sz w:val="24"/>
          <w:szCs w:val="24"/>
          <w:lang w:eastAsia="pl-PL"/>
        </w:rPr>
        <w:t>nej. Niezale</w:t>
      </w:r>
      <w:r w:rsidR="00EC000F">
        <w:rPr>
          <w:rFonts w:ascii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 jednak od </w:t>
      </w:r>
      <w:r w:rsidR="008C4FAD">
        <w:rPr>
          <w:rFonts w:ascii="Times New Roman" w:hAnsi="Times New Roman" w:cs="Times New Roman"/>
          <w:sz w:val="24"/>
          <w:szCs w:val="24"/>
          <w:lang w:eastAsia="pl-PL"/>
        </w:rPr>
        <w:t xml:space="preserve">trudnych uwarunkowań makroekonomicznych, </w:t>
      </w:r>
      <w:r w:rsidR="00EC000F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6E3D5E" w:rsidRPr="00E622EA">
        <w:rPr>
          <w:rFonts w:ascii="Times New Roman" w:hAnsi="Times New Roman" w:cs="Times New Roman"/>
          <w:sz w:val="24"/>
          <w:szCs w:val="24"/>
          <w:lang w:eastAsia="pl-PL"/>
        </w:rPr>
        <w:t>rzez cały okres sprawozdawczy Zarząd dokładał starań, aby kondycja ekonomiczna banku była stabilna</w:t>
      </w:r>
      <w:r w:rsidR="008C4FAD">
        <w:rPr>
          <w:rFonts w:ascii="Times New Roman" w:hAnsi="Times New Roman" w:cs="Times New Roman"/>
          <w:sz w:val="24"/>
          <w:szCs w:val="24"/>
          <w:lang w:eastAsia="pl-PL"/>
        </w:rPr>
        <w:t xml:space="preserve">, a wypracowane wyniki finansowe kształtowały się na poziomie zadowalającym. </w:t>
      </w:r>
      <w:r w:rsidR="00EC00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F887A0A" w14:textId="22A8856F" w:rsidR="008E0099" w:rsidRPr="008E0099" w:rsidRDefault="008C4FAD" w:rsidP="00F93DA9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Pom</w:t>
      </w:r>
      <w:r w:rsidR="00EC000F">
        <w:rPr>
          <w:rFonts w:ascii="Times New Roman" w:hAnsi="Times New Roman" w:cs="Times New Roman"/>
          <w:sz w:val="24"/>
          <w:szCs w:val="24"/>
          <w:lang w:eastAsia="pl-PL"/>
        </w:rPr>
        <w:t xml:space="preserve">imo że akcja kredytowa w </w:t>
      </w:r>
      <w:r w:rsidR="003A233B">
        <w:rPr>
          <w:rFonts w:ascii="Times New Roman" w:hAnsi="Times New Roman" w:cs="Times New Roman"/>
          <w:sz w:val="24"/>
          <w:szCs w:val="24"/>
          <w:lang w:eastAsia="pl-PL"/>
        </w:rPr>
        <w:t xml:space="preserve">minionym roku siłą rzeczy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wielu bankach </w:t>
      </w:r>
      <w:r w:rsidR="003A233B">
        <w:rPr>
          <w:rFonts w:ascii="Times New Roman" w:hAnsi="Times New Roman" w:cs="Times New Roman"/>
          <w:sz w:val="24"/>
          <w:szCs w:val="24"/>
          <w:lang w:eastAsia="pl-PL"/>
        </w:rPr>
        <w:t>spowolniła swoje tempo, nadal ten obszar d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>ziałalnoś</w:t>
      </w:r>
      <w:r w:rsidR="003A233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ci handlowej był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dla banku wiodącym 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źródłem dochodów. Bank </w:t>
      </w:r>
      <w:r w:rsidR="003A233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był </w:t>
      </w:r>
      <w:r w:rsidR="00F93DA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 minionym roku </w:t>
      </w:r>
      <w:r w:rsidR="003A233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otwarty, zarówno na szczególne potrzeby klientów związane z łagodzeniem skutków ekonomicznych epidemii, jak i na </w:t>
      </w:r>
      <w:r w:rsidR="00F93DA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kredytowanie </w:t>
      </w:r>
      <w:r w:rsidR="003A233B">
        <w:rPr>
          <w:rFonts w:ascii="Times New Roman" w:hAnsi="Times New Roman" w:cs="Times New Roman"/>
          <w:iCs/>
          <w:sz w:val="24"/>
          <w:szCs w:val="24"/>
          <w:lang w:eastAsia="pl-PL"/>
        </w:rPr>
        <w:t>bieżąc</w:t>
      </w:r>
      <w:r w:rsidR="00F93DA9">
        <w:rPr>
          <w:rFonts w:ascii="Times New Roman" w:hAnsi="Times New Roman" w:cs="Times New Roman"/>
          <w:iCs/>
          <w:sz w:val="24"/>
          <w:szCs w:val="24"/>
          <w:lang w:eastAsia="pl-PL"/>
        </w:rPr>
        <w:t>ych</w:t>
      </w:r>
      <w:r w:rsidR="003A233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potrzeb</w:t>
      </w:r>
      <w:r w:rsidR="00F93DA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klientów i podejmowanych przez nich inwestycji, w tym o charakterze </w:t>
      </w:r>
      <w:r w:rsidR="00F93DA9">
        <w:rPr>
          <w:rFonts w:ascii="Times New Roman" w:hAnsi="Times New Roman" w:cs="Times New Roman"/>
          <w:iCs/>
          <w:sz w:val="24"/>
          <w:szCs w:val="24"/>
          <w:lang w:eastAsia="pl-PL"/>
        </w:rPr>
        <w:lastRenderedPageBreak/>
        <w:t xml:space="preserve">proekologicznym. 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Działalność kredytowa </w:t>
      </w:r>
      <w:r w:rsidR="00F93DA9">
        <w:rPr>
          <w:rFonts w:ascii="Times New Roman" w:hAnsi="Times New Roman" w:cs="Times New Roman"/>
          <w:iCs/>
          <w:sz w:val="24"/>
          <w:szCs w:val="24"/>
          <w:lang w:eastAsia="pl-PL"/>
        </w:rPr>
        <w:t>b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>anku w 2020 r. obejmowała głównie osoby fizyczne oraz rolnictwo i sektor małych i średnich przedsiębiorstw.</w:t>
      </w:r>
    </w:p>
    <w:p w14:paraId="01BE9706" w14:textId="3BA32EAD" w:rsidR="008E0099" w:rsidRPr="008E0099" w:rsidRDefault="008E0099" w:rsidP="00F93DA9">
      <w:pPr>
        <w:spacing w:after="0" w:line="360" w:lineRule="auto"/>
        <w:ind w:firstLine="708"/>
        <w:contextualSpacing/>
        <w:jc w:val="both"/>
        <w:outlineLvl w:val="1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>Największą pozycj</w:t>
      </w:r>
      <w:r w:rsidR="00F93DA9">
        <w:rPr>
          <w:rFonts w:ascii="Times New Roman" w:hAnsi="Times New Roman" w:cs="Times New Roman"/>
          <w:iCs/>
          <w:sz w:val="24"/>
          <w:szCs w:val="24"/>
          <w:lang w:eastAsia="pl-PL"/>
        </w:rPr>
        <w:t>ę</w:t>
      </w:r>
      <w:r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w strukturze kredytów ogółem na dzień 31 grudnia 2020 r. stanow</w:t>
      </w:r>
      <w:r w:rsidR="009A617E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iły kredyty dla osób prywatnych. </w:t>
      </w:r>
      <w:r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Ich udział w kredytach ogółem wynosił 31,44%. W porównaniu do analogicznego okresu roku ubiegłego odnotowano wzrost o 10,86%. Z uwagi na </w:t>
      </w:r>
      <w:r w:rsidR="00F93DA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nieznaczące </w:t>
      </w:r>
      <w:r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kwoty jednostkowego zaangażowania, grupę kredytobiorców z sektora osób prywatnych </w:t>
      </w:r>
      <w:r w:rsidR="00F93DA9">
        <w:rPr>
          <w:rFonts w:ascii="Times New Roman" w:hAnsi="Times New Roman" w:cs="Times New Roman"/>
          <w:iCs/>
          <w:sz w:val="24"/>
          <w:szCs w:val="24"/>
          <w:lang w:eastAsia="pl-PL"/>
        </w:rPr>
        <w:t>cechowało</w:t>
      </w:r>
      <w:r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niskie ryzyko kredytowe. </w:t>
      </w:r>
    </w:p>
    <w:p w14:paraId="07B46CF1" w14:textId="317D4D17" w:rsidR="008E0099" w:rsidRPr="008E0099" w:rsidRDefault="00F93DA9" w:rsidP="00F93DA9">
      <w:pPr>
        <w:spacing w:after="0" w:line="360" w:lineRule="auto"/>
        <w:ind w:firstLine="708"/>
        <w:contextualSpacing/>
        <w:jc w:val="both"/>
        <w:outlineLvl w:val="1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  <w:lang w:eastAsia="pl-PL"/>
        </w:rPr>
        <w:t>Na d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>rug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iej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pozycj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i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pod względem wielkości na koniec 2020 r.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plasowały się </w:t>
      </w:r>
      <w:r w:rsidR="009A617E">
        <w:rPr>
          <w:rFonts w:ascii="Times New Roman" w:hAnsi="Times New Roman" w:cs="Times New Roman"/>
          <w:iCs/>
          <w:sz w:val="24"/>
          <w:szCs w:val="24"/>
          <w:lang w:eastAsia="pl-PL"/>
        </w:rPr>
        <w:t>kredyty dla sektora rolniczego stanowiące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31,06% portfela kredytowego ogółem. W stosunku do roku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poprzedniego zauważa się niewielki 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ich spadek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oscylujący wokół 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>2,09%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, ale z drugiej strony podkreślenia wymaga </w:t>
      </w:r>
      <w:r w:rsidRPr="00F93DA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wysoka dbałość o terminową obsługę zobowiązań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cechująca 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grupę kredytobiorców sektora rolniczego. </w:t>
      </w:r>
    </w:p>
    <w:p w14:paraId="2FC41007" w14:textId="67A5A9C3" w:rsidR="008E0099" w:rsidRPr="001265D7" w:rsidRDefault="001265D7" w:rsidP="009A617E">
      <w:pPr>
        <w:spacing w:after="0" w:line="360" w:lineRule="auto"/>
        <w:ind w:firstLine="708"/>
        <w:contextualSpacing/>
        <w:jc w:val="both"/>
        <w:outlineLvl w:val="1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1265D7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 minionym roku bank kontynuował </w:t>
      </w:r>
      <w:r w:rsidR="008E0099" w:rsidRPr="001265D7">
        <w:rPr>
          <w:rFonts w:ascii="Times New Roman" w:hAnsi="Times New Roman" w:cs="Times New Roman"/>
          <w:iCs/>
          <w:sz w:val="24"/>
          <w:szCs w:val="24"/>
          <w:lang w:eastAsia="pl-PL"/>
        </w:rPr>
        <w:t>współprac</w:t>
      </w:r>
      <w:r w:rsidRPr="001265D7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ę </w:t>
      </w:r>
      <w:r w:rsidR="008E0099" w:rsidRPr="001265D7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z samorządami gminnymi na terenie </w:t>
      </w:r>
      <w:r w:rsidRPr="001265D7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swojego </w:t>
      </w:r>
      <w:r w:rsidR="009A617E" w:rsidRPr="001265D7">
        <w:rPr>
          <w:rFonts w:ascii="Times New Roman" w:hAnsi="Times New Roman" w:cs="Times New Roman"/>
          <w:iCs/>
          <w:sz w:val="24"/>
          <w:szCs w:val="24"/>
          <w:lang w:eastAsia="pl-PL"/>
        </w:rPr>
        <w:t>działania</w:t>
      </w:r>
      <w:r w:rsidR="008E0099" w:rsidRPr="001265D7">
        <w:rPr>
          <w:rFonts w:ascii="Times New Roman" w:hAnsi="Times New Roman" w:cs="Times New Roman"/>
          <w:iCs/>
          <w:sz w:val="24"/>
          <w:szCs w:val="24"/>
          <w:lang w:eastAsia="pl-PL"/>
        </w:rPr>
        <w:t>. Kredyty dla jednostek samorządu terytorialnego</w:t>
      </w:r>
      <w:r w:rsidRPr="001265D7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, które charakteryzuje wysoka jakość, stanowiły </w:t>
      </w:r>
      <w:r w:rsidR="008E0099" w:rsidRPr="001265D7">
        <w:rPr>
          <w:rFonts w:ascii="Times New Roman" w:hAnsi="Times New Roman" w:cs="Times New Roman"/>
          <w:iCs/>
          <w:sz w:val="24"/>
          <w:szCs w:val="24"/>
          <w:lang w:eastAsia="pl-PL"/>
        </w:rPr>
        <w:t>w strukturze kredytów trzecią pozycję pod względem wielkości. Na koniec 2020 r. wartość kredytów wynosiła 99</w:t>
      </w:r>
      <w:r w:rsidR="008110AA"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  <w:r w:rsidR="008E0099" w:rsidRPr="001265D7">
        <w:rPr>
          <w:rFonts w:ascii="Times New Roman" w:hAnsi="Times New Roman" w:cs="Times New Roman"/>
          <w:iCs/>
          <w:sz w:val="24"/>
          <w:szCs w:val="24"/>
          <w:lang w:eastAsia="pl-PL"/>
        </w:rPr>
        <w:t>660,5 tys. zł, co stanowiło 26,72% portfela kredytowego</w:t>
      </w:r>
      <w:r w:rsidRPr="001265D7">
        <w:rPr>
          <w:rFonts w:ascii="Times New Roman" w:hAnsi="Times New Roman" w:cs="Times New Roman"/>
          <w:sz w:val="24"/>
          <w:szCs w:val="24"/>
        </w:rPr>
        <w:t xml:space="preserve"> i w </w:t>
      </w:r>
      <w:r w:rsidRPr="001265D7">
        <w:rPr>
          <w:rFonts w:ascii="Times New Roman" w:hAnsi="Times New Roman" w:cs="Times New Roman"/>
          <w:iCs/>
          <w:sz w:val="24"/>
          <w:szCs w:val="24"/>
          <w:lang w:eastAsia="pl-PL"/>
        </w:rPr>
        <w:t>porównaniu z poprzednim rokiem oznacza delikatny spadek o 1,18%.</w:t>
      </w:r>
      <w:r w:rsidR="008E0099" w:rsidRPr="001265D7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 </w:t>
      </w:r>
    </w:p>
    <w:p w14:paraId="0FA7A90A" w14:textId="2FA5A930" w:rsidR="008E0099" w:rsidRPr="008E0099" w:rsidRDefault="001265D7" w:rsidP="001265D7">
      <w:pPr>
        <w:spacing w:after="0" w:line="360" w:lineRule="auto"/>
        <w:ind w:firstLine="708"/>
        <w:contextualSpacing/>
        <w:jc w:val="both"/>
        <w:outlineLvl w:val="1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  <w:lang w:eastAsia="pl-PL"/>
        </w:rPr>
        <w:t>Ponadto b</w:t>
      </w:r>
      <w:r w:rsidR="008E0099" w:rsidRPr="001265D7">
        <w:rPr>
          <w:rFonts w:ascii="Times New Roman" w:hAnsi="Times New Roman" w:cs="Times New Roman"/>
          <w:iCs/>
          <w:sz w:val="24"/>
          <w:szCs w:val="24"/>
          <w:lang w:eastAsia="pl-PL"/>
        </w:rPr>
        <w:t>ank angaż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ował się </w:t>
      </w:r>
      <w:r w:rsidR="008E0099" w:rsidRPr="001265D7">
        <w:rPr>
          <w:rFonts w:ascii="Times New Roman" w:hAnsi="Times New Roman" w:cs="Times New Roman"/>
          <w:iCs/>
          <w:sz w:val="24"/>
          <w:szCs w:val="24"/>
          <w:lang w:eastAsia="pl-PL"/>
        </w:rPr>
        <w:t>w finansowanie przedsięwzięć gospodarczych, umożliwiając realizację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lokalnych inwestycji podejmowanych przez grupę rzemieślniczą oraz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niezmiennie, także w minionym roku, 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>pełni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ł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istotną rolę w rozwoju drobnej i średniej przedsiębiorczości.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U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dział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tych kredytów 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 łącznym portfelu kredytowym wynosił 10,08%. Wielkość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ta potwierdza tendencję wzrostową 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 stosunku do ubiegłego roku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aż 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>o 19,76 %.</w:t>
      </w:r>
    </w:p>
    <w:p w14:paraId="0805DAA3" w14:textId="04ED30DC" w:rsidR="009A617E" w:rsidRPr="009A617E" w:rsidRDefault="001265D7" w:rsidP="001265D7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  <w:lang w:eastAsia="pl-PL"/>
        </w:rPr>
        <w:t>Należy przypomnieć, że u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dzielanie kredytów, pożyczek i gwarancji należy do operacji bankowych obarczonych ryzykiem. Ryzyko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to 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>pociąga za sobą koszty, jednak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że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przychody uzyskane z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działalności 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>kredytowej zapewniają zarówno pokrycie tych kosztów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jak i stabilny rozwój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b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>anku.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Toteż b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ogata oferta kredytowa oraz prowadzone działania marketingowe przyczyniły się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 ubiegłym roku 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do wzrostu wartości portfela kredytowego w stosunku do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roku 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2019 o </w:t>
      </w:r>
      <w:r w:rsidR="008110AA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kwotę 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>12</w:t>
      </w:r>
      <w:r w:rsidR="008110AA"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  <w:r w:rsidR="008E0099" w:rsidRPr="008E0099">
        <w:rPr>
          <w:rFonts w:ascii="Times New Roman" w:hAnsi="Times New Roman" w:cs="Times New Roman"/>
          <w:iCs/>
          <w:sz w:val="24"/>
          <w:szCs w:val="24"/>
          <w:lang w:eastAsia="pl-PL"/>
        </w:rPr>
        <w:t>808,7 tys. zł., tj. 3,56%.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9A617E" w:rsidRPr="009A617E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 </w:t>
      </w:r>
      <w:r w:rsidR="008110AA">
        <w:rPr>
          <w:rFonts w:ascii="Times New Roman" w:hAnsi="Times New Roman" w:cs="Times New Roman"/>
          <w:iCs/>
          <w:sz w:val="24"/>
          <w:szCs w:val="24"/>
          <w:lang w:eastAsia="pl-PL"/>
        </w:rPr>
        <w:t>bieżącym roku b</w:t>
      </w:r>
      <w:r w:rsidR="009A617E" w:rsidRPr="009A617E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ank </w:t>
      </w:r>
      <w:r w:rsidR="008110AA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rozpoczął </w:t>
      </w:r>
      <w:r w:rsidR="009A617E" w:rsidRPr="009A617E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działalność </w:t>
      </w:r>
      <w:r w:rsidR="008110AA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 zakresie sprzedaży produktów </w:t>
      </w:r>
      <w:r w:rsidR="009A617E" w:rsidRPr="009A617E">
        <w:rPr>
          <w:rFonts w:ascii="Times New Roman" w:hAnsi="Times New Roman" w:cs="Times New Roman"/>
          <w:iCs/>
          <w:sz w:val="24"/>
          <w:szCs w:val="24"/>
          <w:lang w:eastAsia="pl-PL"/>
        </w:rPr>
        <w:t>ubezpieczeniow</w:t>
      </w:r>
      <w:r w:rsidR="008110AA">
        <w:rPr>
          <w:rFonts w:ascii="Times New Roman" w:hAnsi="Times New Roman" w:cs="Times New Roman"/>
          <w:iCs/>
          <w:sz w:val="24"/>
          <w:szCs w:val="24"/>
          <w:lang w:eastAsia="pl-PL"/>
        </w:rPr>
        <w:t>ych</w:t>
      </w:r>
      <w:r w:rsidR="009A617E" w:rsidRPr="009A617E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110AA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na podstawie zawartych z towarzystwami umowami </w:t>
      </w:r>
      <w:r w:rsidR="009A617E" w:rsidRPr="009A617E">
        <w:rPr>
          <w:rFonts w:ascii="Times New Roman" w:hAnsi="Times New Roman" w:cs="Times New Roman"/>
          <w:iCs/>
          <w:sz w:val="24"/>
          <w:szCs w:val="24"/>
          <w:lang w:eastAsia="pl-PL"/>
        </w:rPr>
        <w:t>agencyjn</w:t>
      </w:r>
      <w:r w:rsidR="008110AA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ymi, co w założeniu ma stanowić nie tylko uatrakcyjnienie oferty kredytowej, ale także źródło dodatkowych przychodów dla banku. </w:t>
      </w:r>
    </w:p>
    <w:p w14:paraId="63A15220" w14:textId="42229CE6" w:rsidR="000D0A62" w:rsidRPr="0008346B" w:rsidRDefault="008110AA" w:rsidP="000D0A62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Tradycyjnie w minionym roku, ź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ródło pokrycia działalności kredytowej stanowiły głównie depozyty, które na koniec mi</w:t>
      </w:r>
      <w:r w:rsidR="000D0A6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nionego roku osiągnęły kwotę 625.931,68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tys. zł, w tym lokaty terminowe kszt</w:t>
      </w:r>
      <w:r w:rsidR="000D0A6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ałtowały się na poziomie 110.106,02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tys. </w:t>
      </w:r>
      <w:r w:rsidR="000D0A6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z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ł</w:t>
      </w:r>
      <w:r w:rsidR="000D0A6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, a depozyty w rachunkach oszczędnościowych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w wysokości </w:t>
      </w:r>
      <w:r w:rsidR="000D0A6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172.693,24 tys. zł. 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Natomiast w ograniczonym rozmiarze źródł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em tym były 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fundusze własne banku,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w szczególności f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undusz udziałowy, który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na koniec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2020 r. 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wyniósł 5</w:t>
      </w:r>
      <w:r w:rsidR="000D0A6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67,00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tys. zł i w</w:t>
      </w:r>
      <w:r w:rsidR="000D0A6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ykazał spadek w stosunku do 2019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roku o </w:t>
      </w:r>
      <w:r w:rsidR="000D0A6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10,2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tys. zł. Fundusze ogółem wyniosły </w:t>
      </w:r>
      <w:r w:rsidR="000D0A6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na koniec 2020 r. 52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.</w:t>
      </w:r>
      <w:r w:rsidR="000D0A6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476,90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tys. zł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, co w zestawieniu 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z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wartościami z 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rok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u </w:t>
      </w:r>
      <w:r w:rsidR="008C4FAD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poprzedniego 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oznacza, że </w:t>
      </w:r>
      <w:r w:rsidR="000D0A6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fundusze własne wzrosły o 7,74%. Na koniec 2020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roku bank zrzeszał 2.</w:t>
      </w:r>
      <w:r w:rsidR="000D0A6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605</w:t>
      </w:r>
      <w:r w:rsidR="000D0A62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członków.</w:t>
      </w:r>
    </w:p>
    <w:p w14:paraId="3ED892F1" w14:textId="77777777" w:rsidR="006E3D5E" w:rsidRDefault="009A617E" w:rsidP="00FE4388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W 2020</w:t>
      </w:r>
      <w:r w:rsidR="006E3D5E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roku bank </w:t>
      </w:r>
      <w:r w:rsidR="00975AA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osiągnął przychody w kwocie 22.010,13</w:t>
      </w:r>
      <w:r w:rsidR="006E3D5E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tys. zł, z których najwyższą pozycję stanowiły przycho</w:t>
      </w:r>
      <w:r w:rsidR="00975AA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dy z tytułu odsetek wynoszące 14.978,24 tys. </w:t>
      </w:r>
      <w:r w:rsidR="006E3D5E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zł. Natomiast koszty w miniony</w:t>
      </w:r>
      <w:r w:rsidR="00975AA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m roku zamknęły się kwotą 17.870,54</w:t>
      </w:r>
      <w:r w:rsidR="006E3D5E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tys. zł, w tym ko</w:t>
      </w:r>
      <w:r w:rsidR="006E3D5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szty</w:t>
      </w:r>
      <w:r w:rsidR="00975AA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działania banku wyniosły 12.410,90</w:t>
      </w:r>
      <w:r w:rsidR="006E3D5E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tys. zł. W wyniku tej działalnoś</w:t>
      </w:r>
      <w:r w:rsidR="00975AA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ci bank na dzień 31 grudnia 2020</w:t>
      </w:r>
      <w:r w:rsidR="006E3D5E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roku osiągnął zy</w:t>
      </w:r>
      <w:r w:rsidR="00975AA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sk brutto w kwocie 4.139,60</w:t>
      </w:r>
      <w:r w:rsidR="006E3D5E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tys. zł, który po umniejszeniu o obciążenia podatkowe, pozwolił na uzyskan</w:t>
      </w:r>
      <w:r w:rsidR="00975AA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ie wyniku netto w kwocie 3.123,50</w:t>
      </w:r>
      <w:r w:rsidR="006E3D5E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tys. zł. Suma bilansowa nett</w:t>
      </w:r>
      <w:r w:rsidR="00975AA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o aktywów i pasywów wyniosła 686.591,99 tys. zł i w stosunku do 2019</w:t>
      </w:r>
      <w:r w:rsidR="006E3D5E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roku wzrosła o </w:t>
      </w:r>
      <w:r w:rsidR="00975AA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15,6</w:t>
      </w:r>
      <w:r w:rsidR="006E3D5E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%. </w:t>
      </w:r>
      <w:r w:rsidR="006E3D5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Natomiast w</w:t>
      </w:r>
      <w:r w:rsidR="006E3D5E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spółczynnik wypła</w:t>
      </w:r>
      <w:r w:rsidR="00975AA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calności na dzień 31 grudnia 2020</w:t>
      </w:r>
      <w:r w:rsidR="006E3D5E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r. wyniósł </w:t>
      </w:r>
      <w:r w:rsidR="006E3D5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19,57</w:t>
      </w:r>
      <w:r w:rsidR="006E3D5E" w:rsidRPr="0008346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%. </w:t>
      </w:r>
    </w:p>
    <w:p w14:paraId="6C163778" w14:textId="77777777" w:rsidR="006E3D5E" w:rsidRPr="0008346B" w:rsidRDefault="006E3D5E" w:rsidP="000248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8346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 Informacje w zakresie realizacji wniosków  </w:t>
      </w:r>
    </w:p>
    <w:p w14:paraId="74B32CC8" w14:textId="788F7DFE" w:rsidR="008C4FAD" w:rsidRDefault="00D90400" w:rsidP="00D90400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D90400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Zarząd informuje, że wszystkie uchwały podjęte podczas ubiegłorocznego Zebrania Przedstawicieli zostały wykonane. Podsumowania wymaga natomiast przebieg Zebrań Grup Członkowskich w 2020 r. Aktywność członków banku mierzona liczbą uczestników poszczególnych Zebrań kształtowała się na poziomie niższym jak w latach minionych, </w:t>
      </w:r>
      <w:r w:rsidR="008C4FA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gdyż </w:t>
      </w:r>
      <w:r w:rsidRPr="00D90400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stanowiła </w:t>
      </w:r>
      <w:r w:rsidR="0043744F" w:rsidRPr="00D90400">
        <w:rPr>
          <w:rFonts w:ascii="Times New Roman" w:hAnsi="Times New Roman" w:cs="Times New Roman"/>
          <w:iCs/>
          <w:sz w:val="24"/>
          <w:szCs w:val="24"/>
          <w:lang w:eastAsia="pl-PL"/>
        </w:rPr>
        <w:t>ogółem 2,92%</w:t>
      </w:r>
      <w:r w:rsidR="008C4FA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. Niewątpliwie należy to </w:t>
      </w:r>
      <w:r w:rsidRPr="00D90400">
        <w:rPr>
          <w:rFonts w:ascii="Times New Roman" w:hAnsi="Times New Roman" w:cs="Times New Roman"/>
          <w:iCs/>
          <w:sz w:val="24"/>
          <w:szCs w:val="24"/>
          <w:lang w:eastAsia="pl-PL"/>
        </w:rPr>
        <w:t>wy</w:t>
      </w:r>
      <w:r w:rsidR="008C4FA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tłumaczyć </w:t>
      </w:r>
      <w:r w:rsidRPr="00D90400">
        <w:rPr>
          <w:rFonts w:ascii="Times New Roman" w:hAnsi="Times New Roman" w:cs="Times New Roman"/>
          <w:iCs/>
          <w:sz w:val="24"/>
          <w:szCs w:val="24"/>
          <w:lang w:eastAsia="pl-PL"/>
        </w:rPr>
        <w:t>szczególną sytuacją związaną ze stanem epidemii</w:t>
      </w:r>
      <w:r w:rsidR="008C4FA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i ograniczeniami rządowymi, które w tym czasie towarzyszyły w wielu sferach aktywności społecznej i gospodarczej. </w:t>
      </w:r>
      <w:r w:rsidRPr="00D90400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W stosunku procentowym do liczby członków, największym zainteresowaniem cieszyło się </w:t>
      </w:r>
      <w:r w:rsidR="008C4FAD">
        <w:rPr>
          <w:rFonts w:ascii="Times New Roman" w:hAnsi="Times New Roman" w:cs="Times New Roman"/>
          <w:iCs/>
          <w:sz w:val="24"/>
          <w:szCs w:val="24"/>
          <w:lang w:eastAsia="pl-PL"/>
        </w:rPr>
        <w:t>Z</w:t>
      </w:r>
      <w:r w:rsidRPr="00D90400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ebranie w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Mieścisku</w:t>
      </w:r>
      <w:r w:rsidRPr="00D90400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, a najmniejszym w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Kłecku. </w:t>
      </w:r>
    </w:p>
    <w:p w14:paraId="63EDB60E" w14:textId="1BFDC110" w:rsidR="006E3D5E" w:rsidRDefault="00D90400" w:rsidP="002945E3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0400">
        <w:rPr>
          <w:rFonts w:ascii="Times New Roman" w:hAnsi="Times New Roman" w:cs="Times New Roman"/>
          <w:iCs/>
          <w:sz w:val="24"/>
          <w:szCs w:val="24"/>
          <w:lang w:eastAsia="pl-PL"/>
        </w:rPr>
        <w:t>Zebrania Grup Członkowskich, podobnie jak w latach minionych stanowiły płaszczyznę merytorycznej dyskusji potwierdzającej szerokie zainteresowanie członków różnymi aspektami działania banku</w:t>
      </w:r>
      <w:r w:rsidR="008C4FA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, w tym dotyczącymi </w:t>
      </w:r>
      <w:r w:rsidRPr="00D90400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członkostwa, organizacji pracy w banku, działalności społeczno-charytatywnej, infrastruktury technicznej banku i oferty produktowej. Bardziej szczegółowe kwestie dotykały natomiast oferty banku, w tym bankowości elektronicznej, zasad udzielania kredytów rolniczych i zabezpieczonych hipotecznie, pobieranych prowizji i stosowanych w banku procedur. </w:t>
      </w:r>
      <w:r w:rsidR="008C4FA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Dodatkowym elementem dyskusji była ocena bieżącej sytuacji związanej ze stanem epidemii i jej skutków na działalność banku oraz </w:t>
      </w:r>
      <w:r w:rsidR="002945E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lokalnej społeczności. </w:t>
      </w:r>
      <w:r w:rsidRPr="00D90400">
        <w:rPr>
          <w:rFonts w:ascii="Times New Roman" w:hAnsi="Times New Roman" w:cs="Times New Roman"/>
          <w:iCs/>
          <w:sz w:val="24"/>
          <w:szCs w:val="24"/>
          <w:lang w:eastAsia="pl-PL"/>
        </w:rPr>
        <w:t>Członkowie formułowali również konstruktywne wypowiedzi na temat sytuacji banków spółdzielczych oraz prowadzili dojrzałą wymianę poglądów w zakresie zmian prawnych i systemowych w sektorze bankowości spółdzielczej.</w:t>
      </w:r>
      <w:r w:rsidR="002945E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Toteż </w:t>
      </w:r>
      <w:r w:rsidR="006E3D5E">
        <w:rPr>
          <w:rFonts w:ascii="Times New Roman" w:hAnsi="Times New Roman" w:cs="Times New Roman"/>
          <w:sz w:val="24"/>
          <w:szCs w:val="24"/>
        </w:rPr>
        <w:t xml:space="preserve">Zarząd </w:t>
      </w:r>
      <w:r w:rsidR="006E3D5E" w:rsidRPr="0008346B">
        <w:rPr>
          <w:rFonts w:ascii="Times New Roman" w:hAnsi="Times New Roman" w:cs="Times New Roman"/>
          <w:sz w:val="24"/>
          <w:szCs w:val="24"/>
        </w:rPr>
        <w:t>ma nadzieję, że</w:t>
      </w:r>
      <w:r w:rsidR="006E3D5E">
        <w:rPr>
          <w:rFonts w:ascii="Times New Roman" w:hAnsi="Times New Roman" w:cs="Times New Roman"/>
          <w:sz w:val="24"/>
          <w:szCs w:val="24"/>
        </w:rPr>
        <w:t xml:space="preserve"> </w:t>
      </w:r>
      <w:r w:rsidR="006E3D5E" w:rsidRPr="005A7A12">
        <w:rPr>
          <w:rFonts w:ascii="Times New Roman" w:hAnsi="Times New Roman" w:cs="Times New Roman"/>
          <w:sz w:val="24"/>
          <w:szCs w:val="24"/>
        </w:rPr>
        <w:t>tak jak dotychczas</w:t>
      </w:r>
      <w:r w:rsidR="006E3D5E">
        <w:rPr>
          <w:rFonts w:ascii="Times New Roman" w:hAnsi="Times New Roman" w:cs="Times New Roman"/>
          <w:sz w:val="24"/>
          <w:szCs w:val="24"/>
        </w:rPr>
        <w:t xml:space="preserve">, będzie mógł liczyć podczas tegorocznych Zebrań Grup Członkowskich, a następnie Zebrania Przedstawicieli, na zrozumienie przez członków aspektów dzisiejszej polityki banku, a także na to, że członkowie swoimi dojrzałymi decyzjami i postawą będą wspierać Zarząd w realizacji tych </w:t>
      </w:r>
      <w:r w:rsidR="00956EE2">
        <w:rPr>
          <w:rFonts w:ascii="Times New Roman" w:hAnsi="Times New Roman" w:cs="Times New Roman"/>
          <w:sz w:val="24"/>
          <w:szCs w:val="24"/>
        </w:rPr>
        <w:t>szczególnie trudnych</w:t>
      </w:r>
      <w:r w:rsidR="006E3D5E">
        <w:rPr>
          <w:rFonts w:ascii="Times New Roman" w:hAnsi="Times New Roman" w:cs="Times New Roman"/>
          <w:sz w:val="24"/>
          <w:szCs w:val="24"/>
        </w:rPr>
        <w:t xml:space="preserve"> dziś zadań.</w:t>
      </w:r>
    </w:p>
    <w:p w14:paraId="316E2575" w14:textId="77777777" w:rsidR="00D90400" w:rsidRPr="0008346B" w:rsidRDefault="00D90400" w:rsidP="00AF3D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9FC255" w14:textId="77777777" w:rsidR="006E3D5E" w:rsidRPr="0008346B" w:rsidRDefault="006E3D5E" w:rsidP="001357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8346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V. Podsumowanie  </w:t>
      </w:r>
    </w:p>
    <w:p w14:paraId="30EF2600" w14:textId="77777777" w:rsidR="006E3D5E" w:rsidRDefault="006E3D5E" w:rsidP="00FA3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346B">
        <w:rPr>
          <w:rFonts w:ascii="Times New Roman" w:hAnsi="Times New Roman" w:cs="Times New Roman"/>
          <w:sz w:val="24"/>
          <w:szCs w:val="24"/>
          <w:lang w:eastAsia="pl-PL"/>
        </w:rPr>
        <w:t>Założeniem niniejszego sprawozdania było zaprezentowanie w sposób ogólny, ale i zarazem możliwie czytelny</w:t>
      </w:r>
      <w:r w:rsidR="004025F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 zadań i celów Zarządu realizowanych w minionym roku wraz z krótką charakterystyką wyników finansowych </w:t>
      </w:r>
      <w:r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anku. </w:t>
      </w:r>
    </w:p>
    <w:p w14:paraId="61918FC9" w14:textId="6D124097" w:rsidR="006E3D5E" w:rsidRDefault="006E3D5E" w:rsidP="00FA3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Na koniec niniejszego sprawozdania Zarząd informuje, że najbliższe Zebranie Przedstawicieli ma charakter sprawozdawczy, podczas którego planowane jest podjęcie uchwał ujętych w odrębnym wykazie. W ramach tegorocznego Zebrania Przedstawicieli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zostaną podjęte w szczególności 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>uchwał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 dotycząc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: zatwierdzenia sprawozdania Rady Nadzorczej wraz z elementami wynikającymi z zasad ładu korporacyjnego </w:t>
      </w:r>
      <w:r w:rsidR="002945E3">
        <w:rPr>
          <w:rFonts w:ascii="Times New Roman" w:hAnsi="Times New Roman" w:cs="Times New Roman"/>
          <w:sz w:val="24"/>
          <w:szCs w:val="24"/>
          <w:lang w:eastAsia="pl-PL"/>
        </w:rPr>
        <w:t xml:space="preserve">i polityki wynagrodzeń, dokonanie oceny odpowiedniości poszczególnych członków tego organu  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oraz sprawozdania z działania Zarządu i sprawozdania finansowego </w:t>
      </w:r>
      <w:r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="00D90400">
        <w:rPr>
          <w:rFonts w:ascii="Times New Roman" w:hAnsi="Times New Roman" w:cs="Times New Roman"/>
          <w:sz w:val="24"/>
          <w:szCs w:val="24"/>
          <w:lang w:eastAsia="pl-PL"/>
        </w:rPr>
        <w:t>anku za 2020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 r., udzielenia poszczególnym członkom Zarządu absolutorium, dokonania podziału</w:t>
      </w:r>
      <w:r w:rsidR="00D90400">
        <w:rPr>
          <w:rFonts w:ascii="Times New Roman" w:hAnsi="Times New Roman" w:cs="Times New Roman"/>
          <w:sz w:val="24"/>
          <w:szCs w:val="24"/>
          <w:lang w:eastAsia="pl-PL"/>
        </w:rPr>
        <w:t xml:space="preserve"> nadwyżki bilansowej za rok 2020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2945E3">
        <w:rPr>
          <w:rFonts w:ascii="Times New Roman" w:hAnsi="Times New Roman" w:cs="Times New Roman"/>
          <w:sz w:val="24"/>
          <w:szCs w:val="24"/>
          <w:lang w:eastAsia="pl-PL"/>
        </w:rPr>
        <w:t xml:space="preserve">określenia maksymalnej sumy zobowiązań, którą bank może zaciągnąć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uchwalenia kierunków działania </w:t>
      </w:r>
      <w:r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anku na bieżący rok. Podczas </w:t>
      </w:r>
      <w:r w:rsidR="002945E3">
        <w:rPr>
          <w:rFonts w:ascii="Times New Roman" w:hAnsi="Times New Roman" w:cs="Times New Roman"/>
          <w:sz w:val="24"/>
          <w:szCs w:val="24"/>
          <w:lang w:eastAsia="pl-PL"/>
        </w:rPr>
        <w:t xml:space="preserve">tegorocznego 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Zebrania Przedstawicieli zostanie również </w:t>
      </w:r>
      <w:r w:rsidR="002945E3">
        <w:rPr>
          <w:rFonts w:ascii="Times New Roman" w:hAnsi="Times New Roman" w:cs="Times New Roman"/>
          <w:sz w:val="24"/>
          <w:szCs w:val="24"/>
          <w:lang w:eastAsia="pl-PL"/>
        </w:rPr>
        <w:t xml:space="preserve">uchwalona nowa Polityki ładu korporacyjnego i wewnętrznego banku oraz nowy Regulamin działania Rady Nadzorczej. </w:t>
      </w:r>
    </w:p>
    <w:p w14:paraId="2845FE4B" w14:textId="77777777" w:rsidR="00D90400" w:rsidRDefault="00D90400" w:rsidP="00FA3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2EA813" w14:textId="77777777" w:rsidR="00FB3B3D" w:rsidRDefault="00FB3B3D" w:rsidP="00FA3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03948C8" w14:textId="77777777" w:rsidR="006E3D5E" w:rsidRPr="00AF3D21" w:rsidRDefault="006E3D5E" w:rsidP="000248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F3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Zarząd Banku Spółdzielczego </w:t>
      </w:r>
    </w:p>
    <w:p w14:paraId="50A9E9B6" w14:textId="77777777" w:rsidR="006E3D5E" w:rsidRPr="00AF3D21" w:rsidRDefault="006E3D5E" w:rsidP="000248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F3D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w Gnieźnie </w:t>
      </w:r>
    </w:p>
    <w:p w14:paraId="09F2A4CA" w14:textId="77777777" w:rsidR="00FB3B3D" w:rsidRDefault="00FB3B3D" w:rsidP="00024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A8A297" w14:textId="77777777" w:rsidR="00FB3B3D" w:rsidRDefault="00FB3B3D" w:rsidP="00024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77C8C8" w14:textId="77777777" w:rsidR="006E3D5E" w:rsidRPr="0008346B" w:rsidRDefault="006E3D5E" w:rsidP="00024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346B">
        <w:rPr>
          <w:rFonts w:ascii="Times New Roman" w:hAnsi="Times New Roman" w:cs="Times New Roman"/>
          <w:sz w:val="24"/>
          <w:szCs w:val="24"/>
          <w:lang w:eastAsia="pl-PL"/>
        </w:rPr>
        <w:t>Gniezno, dnia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D0A62">
        <w:rPr>
          <w:rFonts w:ascii="Times New Roman" w:hAnsi="Times New Roman" w:cs="Times New Roman"/>
          <w:sz w:val="24"/>
          <w:szCs w:val="24"/>
          <w:lang w:eastAsia="pl-PL"/>
        </w:rPr>
        <w:t>26 kwietnia</w:t>
      </w:r>
      <w:r w:rsidR="00D90400">
        <w:rPr>
          <w:rFonts w:ascii="Times New Roman" w:hAnsi="Times New Roman" w:cs="Times New Roman"/>
          <w:sz w:val="24"/>
          <w:szCs w:val="24"/>
          <w:lang w:eastAsia="pl-PL"/>
        </w:rPr>
        <w:t xml:space="preserve"> 2021</w:t>
      </w:r>
      <w:r w:rsidRPr="0008346B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</w:p>
    <w:sectPr w:rsidR="006E3D5E" w:rsidRPr="0008346B" w:rsidSect="0008346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6D28C" w14:textId="77777777" w:rsidR="0034597E" w:rsidRDefault="0034597E" w:rsidP="000248A5">
      <w:pPr>
        <w:spacing w:after="0" w:line="240" w:lineRule="auto"/>
      </w:pPr>
      <w:r>
        <w:separator/>
      </w:r>
    </w:p>
  </w:endnote>
  <w:endnote w:type="continuationSeparator" w:id="0">
    <w:p w14:paraId="2A93AEDB" w14:textId="77777777" w:rsidR="0034597E" w:rsidRDefault="0034597E" w:rsidP="0002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1CF2" w14:textId="77777777" w:rsidR="006E3D5E" w:rsidRDefault="004557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6C01">
      <w:rPr>
        <w:noProof/>
      </w:rPr>
      <w:t>6</w:t>
    </w:r>
    <w:r>
      <w:rPr>
        <w:noProof/>
      </w:rPr>
      <w:fldChar w:fldCharType="end"/>
    </w:r>
  </w:p>
  <w:p w14:paraId="393E3B84" w14:textId="77777777" w:rsidR="006E3D5E" w:rsidRDefault="006E3D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CCC6E" w14:textId="77777777" w:rsidR="0034597E" w:rsidRDefault="0034597E" w:rsidP="000248A5">
      <w:pPr>
        <w:spacing w:after="0" w:line="240" w:lineRule="auto"/>
      </w:pPr>
      <w:r>
        <w:separator/>
      </w:r>
    </w:p>
  </w:footnote>
  <w:footnote w:type="continuationSeparator" w:id="0">
    <w:p w14:paraId="51FBEE7C" w14:textId="77777777" w:rsidR="0034597E" w:rsidRDefault="0034597E" w:rsidP="00024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BB1"/>
    <w:multiLevelType w:val="hybridMultilevel"/>
    <w:tmpl w:val="7E34F114"/>
    <w:lvl w:ilvl="0" w:tplc="931AE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935AB"/>
    <w:multiLevelType w:val="hybridMultilevel"/>
    <w:tmpl w:val="4FACE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3F2A"/>
    <w:multiLevelType w:val="multilevel"/>
    <w:tmpl w:val="84264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0154A"/>
    <w:multiLevelType w:val="hybridMultilevel"/>
    <w:tmpl w:val="E2EE5B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6B6BEC"/>
    <w:multiLevelType w:val="hybridMultilevel"/>
    <w:tmpl w:val="2124AA48"/>
    <w:lvl w:ilvl="0" w:tplc="4ECC6D74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AC7D56"/>
    <w:multiLevelType w:val="hybridMultilevel"/>
    <w:tmpl w:val="586C9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3FA4"/>
    <w:multiLevelType w:val="hybridMultilevel"/>
    <w:tmpl w:val="6336923C"/>
    <w:lvl w:ilvl="0" w:tplc="931AE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F5135C"/>
    <w:multiLevelType w:val="hybridMultilevel"/>
    <w:tmpl w:val="22F2225E"/>
    <w:lvl w:ilvl="0" w:tplc="E70C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265C"/>
    <w:multiLevelType w:val="hybridMultilevel"/>
    <w:tmpl w:val="8426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A268E"/>
    <w:multiLevelType w:val="hybridMultilevel"/>
    <w:tmpl w:val="9446AAEA"/>
    <w:lvl w:ilvl="0" w:tplc="BD82A3C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4A44CC"/>
    <w:multiLevelType w:val="hybridMultilevel"/>
    <w:tmpl w:val="F9D4F942"/>
    <w:lvl w:ilvl="0" w:tplc="931AE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04712"/>
    <w:multiLevelType w:val="hybridMultilevel"/>
    <w:tmpl w:val="7BF85FEA"/>
    <w:lvl w:ilvl="0" w:tplc="931AE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E25D57"/>
    <w:multiLevelType w:val="hybridMultilevel"/>
    <w:tmpl w:val="5D74BF4E"/>
    <w:lvl w:ilvl="0" w:tplc="4ECC6D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F38A7"/>
    <w:multiLevelType w:val="hybridMultilevel"/>
    <w:tmpl w:val="5C9E9A9E"/>
    <w:lvl w:ilvl="0" w:tplc="E47E4D4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351A9A8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105E28"/>
    <w:multiLevelType w:val="multilevel"/>
    <w:tmpl w:val="712E7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584F47"/>
    <w:multiLevelType w:val="hybridMultilevel"/>
    <w:tmpl w:val="4AB471D6"/>
    <w:lvl w:ilvl="0" w:tplc="33B40A26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632A51"/>
    <w:multiLevelType w:val="hybridMultilevel"/>
    <w:tmpl w:val="53BCCC74"/>
    <w:lvl w:ilvl="0" w:tplc="0388CB72">
      <w:start w:val="1"/>
      <w:numFmt w:val="bullet"/>
      <w:lvlText w:val="-"/>
      <w:lvlJc w:val="left"/>
      <w:pPr>
        <w:tabs>
          <w:tab w:val="num" w:pos="1126"/>
        </w:tabs>
        <w:ind w:left="1126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6234FE"/>
    <w:multiLevelType w:val="hybridMultilevel"/>
    <w:tmpl w:val="A7948D22"/>
    <w:lvl w:ilvl="0" w:tplc="B276D1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1D72EA"/>
    <w:multiLevelType w:val="hybridMultilevel"/>
    <w:tmpl w:val="B21A14FE"/>
    <w:lvl w:ilvl="0" w:tplc="85360D1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740512"/>
    <w:multiLevelType w:val="hybridMultilevel"/>
    <w:tmpl w:val="1ADCEDC6"/>
    <w:lvl w:ilvl="0" w:tplc="931AEED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A51396"/>
    <w:multiLevelType w:val="hybridMultilevel"/>
    <w:tmpl w:val="1AB63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5A52"/>
    <w:multiLevelType w:val="hybridMultilevel"/>
    <w:tmpl w:val="91283BE4"/>
    <w:lvl w:ilvl="0" w:tplc="931AE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2421A"/>
    <w:multiLevelType w:val="hybridMultilevel"/>
    <w:tmpl w:val="18C47CA6"/>
    <w:lvl w:ilvl="0" w:tplc="931AEED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031660"/>
    <w:multiLevelType w:val="hybridMultilevel"/>
    <w:tmpl w:val="4554095C"/>
    <w:lvl w:ilvl="0" w:tplc="931AE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E1E38"/>
    <w:multiLevelType w:val="hybridMultilevel"/>
    <w:tmpl w:val="2904E4E4"/>
    <w:lvl w:ilvl="0" w:tplc="931AE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767BDA"/>
    <w:multiLevelType w:val="hybridMultilevel"/>
    <w:tmpl w:val="80B29ED0"/>
    <w:lvl w:ilvl="0" w:tplc="931AEEDC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0322C1"/>
    <w:multiLevelType w:val="hybridMultilevel"/>
    <w:tmpl w:val="555AB5D4"/>
    <w:lvl w:ilvl="0" w:tplc="81F0680E">
      <w:start w:val="1"/>
      <w:numFmt w:val="decimal"/>
      <w:lvlText w:val="%1)"/>
      <w:lvlJc w:val="left"/>
      <w:pPr>
        <w:ind w:left="1900" w:hanging="10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5CBE3046"/>
    <w:multiLevelType w:val="hybridMultilevel"/>
    <w:tmpl w:val="712E7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024C19"/>
    <w:multiLevelType w:val="hybridMultilevel"/>
    <w:tmpl w:val="36A2440A"/>
    <w:lvl w:ilvl="0" w:tplc="A43AE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960FEA"/>
    <w:multiLevelType w:val="hybridMultilevel"/>
    <w:tmpl w:val="573ACCA8"/>
    <w:lvl w:ilvl="0" w:tplc="931AE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022EB"/>
    <w:multiLevelType w:val="hybridMultilevel"/>
    <w:tmpl w:val="C066B778"/>
    <w:lvl w:ilvl="0" w:tplc="85360D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5360D18">
      <w:start w:val="1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86443F"/>
    <w:multiLevelType w:val="multilevel"/>
    <w:tmpl w:val="E2EE5B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C004A0"/>
    <w:multiLevelType w:val="hybridMultilevel"/>
    <w:tmpl w:val="587CE780"/>
    <w:lvl w:ilvl="0" w:tplc="85360D1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07E8D"/>
    <w:multiLevelType w:val="hybridMultilevel"/>
    <w:tmpl w:val="99EEB18C"/>
    <w:lvl w:ilvl="0" w:tplc="BD82A3C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6065FB"/>
    <w:multiLevelType w:val="hybridMultilevel"/>
    <w:tmpl w:val="41827166"/>
    <w:lvl w:ilvl="0" w:tplc="85360D1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85360D1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245447"/>
    <w:multiLevelType w:val="hybridMultilevel"/>
    <w:tmpl w:val="C276DBD4"/>
    <w:lvl w:ilvl="0" w:tplc="85360D1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B872B9"/>
    <w:multiLevelType w:val="hybridMultilevel"/>
    <w:tmpl w:val="C60ADF4C"/>
    <w:lvl w:ilvl="0" w:tplc="85360D1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472487"/>
    <w:multiLevelType w:val="hybridMultilevel"/>
    <w:tmpl w:val="FBD49532"/>
    <w:lvl w:ilvl="0" w:tplc="7F58CC00">
      <w:start w:val="1"/>
      <w:numFmt w:val="bullet"/>
      <w:lvlText w:val="-"/>
      <w:lvlJc w:val="left"/>
      <w:pPr>
        <w:tabs>
          <w:tab w:val="num" w:pos="1126"/>
        </w:tabs>
        <w:ind w:left="1126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9608AB"/>
    <w:multiLevelType w:val="hybridMultilevel"/>
    <w:tmpl w:val="4DE80DA4"/>
    <w:lvl w:ilvl="0" w:tplc="931AE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C13680"/>
    <w:multiLevelType w:val="hybridMultilevel"/>
    <w:tmpl w:val="25B01948"/>
    <w:lvl w:ilvl="0" w:tplc="0E2610F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DE522F"/>
    <w:multiLevelType w:val="hybridMultilevel"/>
    <w:tmpl w:val="7876D3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C38506F"/>
    <w:multiLevelType w:val="hybridMultilevel"/>
    <w:tmpl w:val="02D05792"/>
    <w:lvl w:ilvl="0" w:tplc="A43AE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6717FD"/>
    <w:multiLevelType w:val="hybridMultilevel"/>
    <w:tmpl w:val="FCA84EEC"/>
    <w:lvl w:ilvl="0" w:tplc="1D824720">
      <w:start w:val="1"/>
      <w:numFmt w:val="bullet"/>
      <w:lvlText w:val="-"/>
      <w:lvlJc w:val="left"/>
      <w:pPr>
        <w:tabs>
          <w:tab w:val="num" w:pos="1126"/>
        </w:tabs>
        <w:ind w:left="1126" w:hanging="34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32C89"/>
    <w:multiLevelType w:val="hybridMultilevel"/>
    <w:tmpl w:val="A4EA1BCC"/>
    <w:lvl w:ilvl="0" w:tplc="931AE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E24C6"/>
    <w:multiLevelType w:val="hybridMultilevel"/>
    <w:tmpl w:val="F5B0ED4C"/>
    <w:lvl w:ilvl="0" w:tplc="0ADE6530">
      <w:start w:val="1"/>
      <w:numFmt w:val="bullet"/>
      <w:lvlText w:val="-"/>
      <w:lvlJc w:val="left"/>
      <w:pPr>
        <w:tabs>
          <w:tab w:val="num" w:pos="1126"/>
        </w:tabs>
        <w:ind w:left="1126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</w:num>
  <w:num w:numId="4">
    <w:abstractNumId w:val="41"/>
  </w:num>
  <w:num w:numId="5">
    <w:abstractNumId w:val="22"/>
  </w:num>
  <w:num w:numId="6">
    <w:abstractNumId w:val="30"/>
  </w:num>
  <w:num w:numId="7">
    <w:abstractNumId w:val="15"/>
  </w:num>
  <w:num w:numId="8">
    <w:abstractNumId w:val="40"/>
  </w:num>
  <w:num w:numId="9">
    <w:abstractNumId w:val="19"/>
  </w:num>
  <w:num w:numId="10">
    <w:abstractNumId w:val="25"/>
  </w:num>
  <w:num w:numId="11">
    <w:abstractNumId w:val="13"/>
  </w:num>
  <w:num w:numId="12">
    <w:abstractNumId w:val="18"/>
  </w:num>
  <w:num w:numId="13">
    <w:abstractNumId w:val="34"/>
  </w:num>
  <w:num w:numId="14">
    <w:abstractNumId w:val="0"/>
  </w:num>
  <w:num w:numId="15">
    <w:abstractNumId w:val="11"/>
  </w:num>
  <w:num w:numId="16">
    <w:abstractNumId w:val="20"/>
  </w:num>
  <w:num w:numId="17">
    <w:abstractNumId w:val="27"/>
  </w:num>
  <w:num w:numId="18">
    <w:abstractNumId w:val="33"/>
  </w:num>
  <w:num w:numId="19">
    <w:abstractNumId w:val="35"/>
  </w:num>
  <w:num w:numId="20">
    <w:abstractNumId w:val="36"/>
  </w:num>
  <w:num w:numId="21">
    <w:abstractNumId w:val="9"/>
  </w:num>
  <w:num w:numId="22">
    <w:abstractNumId w:val="17"/>
  </w:num>
  <w:num w:numId="23">
    <w:abstractNumId w:val="26"/>
  </w:num>
  <w:num w:numId="24">
    <w:abstractNumId w:val="7"/>
  </w:num>
  <w:num w:numId="25">
    <w:abstractNumId w:val="38"/>
  </w:num>
  <w:num w:numId="26">
    <w:abstractNumId w:val="6"/>
  </w:num>
  <w:num w:numId="27">
    <w:abstractNumId w:val="1"/>
  </w:num>
  <w:num w:numId="28">
    <w:abstractNumId w:val="8"/>
  </w:num>
  <w:num w:numId="29">
    <w:abstractNumId w:val="16"/>
  </w:num>
  <w:num w:numId="30">
    <w:abstractNumId w:val="3"/>
  </w:num>
  <w:num w:numId="31">
    <w:abstractNumId w:val="31"/>
  </w:num>
  <w:num w:numId="32">
    <w:abstractNumId w:val="37"/>
  </w:num>
  <w:num w:numId="33">
    <w:abstractNumId w:val="14"/>
  </w:num>
  <w:num w:numId="34">
    <w:abstractNumId w:val="44"/>
  </w:num>
  <w:num w:numId="35">
    <w:abstractNumId w:val="2"/>
  </w:num>
  <w:num w:numId="36">
    <w:abstractNumId w:val="42"/>
  </w:num>
  <w:num w:numId="37">
    <w:abstractNumId w:val="24"/>
  </w:num>
  <w:num w:numId="38">
    <w:abstractNumId w:val="21"/>
  </w:num>
  <w:num w:numId="39">
    <w:abstractNumId w:val="29"/>
  </w:num>
  <w:num w:numId="40">
    <w:abstractNumId w:val="10"/>
  </w:num>
  <w:num w:numId="41">
    <w:abstractNumId w:val="43"/>
  </w:num>
  <w:num w:numId="42">
    <w:abstractNumId w:val="23"/>
  </w:num>
  <w:num w:numId="43">
    <w:abstractNumId w:val="32"/>
  </w:num>
  <w:num w:numId="44">
    <w:abstractNumId w:val="39"/>
  </w:num>
  <w:num w:numId="45">
    <w:abstractNumId w:val="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A5"/>
    <w:rsid w:val="00005B9D"/>
    <w:rsid w:val="0002313E"/>
    <w:rsid w:val="000248A5"/>
    <w:rsid w:val="000634B3"/>
    <w:rsid w:val="00065E69"/>
    <w:rsid w:val="0008346B"/>
    <w:rsid w:val="000C34AF"/>
    <w:rsid w:val="000C3AA6"/>
    <w:rsid w:val="000C648C"/>
    <w:rsid w:val="000D0A62"/>
    <w:rsid w:val="001265D7"/>
    <w:rsid w:val="00132230"/>
    <w:rsid w:val="001357EA"/>
    <w:rsid w:val="00154DBB"/>
    <w:rsid w:val="001735C2"/>
    <w:rsid w:val="001944E7"/>
    <w:rsid w:val="001B29CE"/>
    <w:rsid w:val="001C1647"/>
    <w:rsid w:val="001D53C6"/>
    <w:rsid w:val="001E25C5"/>
    <w:rsid w:val="00201AE3"/>
    <w:rsid w:val="002945E3"/>
    <w:rsid w:val="002A3DD9"/>
    <w:rsid w:val="002A4C5A"/>
    <w:rsid w:val="003307EE"/>
    <w:rsid w:val="0034597E"/>
    <w:rsid w:val="00345BB1"/>
    <w:rsid w:val="00357196"/>
    <w:rsid w:val="00364C30"/>
    <w:rsid w:val="00367688"/>
    <w:rsid w:val="00373956"/>
    <w:rsid w:val="00373E4C"/>
    <w:rsid w:val="00390E85"/>
    <w:rsid w:val="003A233B"/>
    <w:rsid w:val="003C2961"/>
    <w:rsid w:val="00400DFD"/>
    <w:rsid w:val="004025F8"/>
    <w:rsid w:val="00413CED"/>
    <w:rsid w:val="00435294"/>
    <w:rsid w:val="0043744F"/>
    <w:rsid w:val="00444E22"/>
    <w:rsid w:val="0045572E"/>
    <w:rsid w:val="004563B0"/>
    <w:rsid w:val="00470905"/>
    <w:rsid w:val="004811CD"/>
    <w:rsid w:val="00483B51"/>
    <w:rsid w:val="00486F6C"/>
    <w:rsid w:val="00490FF0"/>
    <w:rsid w:val="004A2C86"/>
    <w:rsid w:val="004C6450"/>
    <w:rsid w:val="004D78E1"/>
    <w:rsid w:val="004D7AA1"/>
    <w:rsid w:val="004E520F"/>
    <w:rsid w:val="004F0081"/>
    <w:rsid w:val="005050C3"/>
    <w:rsid w:val="00524F2D"/>
    <w:rsid w:val="00532B1E"/>
    <w:rsid w:val="00536372"/>
    <w:rsid w:val="00551B2A"/>
    <w:rsid w:val="005553C1"/>
    <w:rsid w:val="005A7A12"/>
    <w:rsid w:val="005B71A3"/>
    <w:rsid w:val="005F5730"/>
    <w:rsid w:val="006006FF"/>
    <w:rsid w:val="00604C08"/>
    <w:rsid w:val="00634F7A"/>
    <w:rsid w:val="00646248"/>
    <w:rsid w:val="00655F33"/>
    <w:rsid w:val="006629C4"/>
    <w:rsid w:val="00686541"/>
    <w:rsid w:val="006E3D5E"/>
    <w:rsid w:val="006E4011"/>
    <w:rsid w:val="006F684C"/>
    <w:rsid w:val="006F6C01"/>
    <w:rsid w:val="0071028C"/>
    <w:rsid w:val="00743E32"/>
    <w:rsid w:val="007564F4"/>
    <w:rsid w:val="00760BAB"/>
    <w:rsid w:val="007C7AA5"/>
    <w:rsid w:val="007D0FC0"/>
    <w:rsid w:val="007E49FD"/>
    <w:rsid w:val="007F164D"/>
    <w:rsid w:val="007F5E13"/>
    <w:rsid w:val="00804612"/>
    <w:rsid w:val="008110AA"/>
    <w:rsid w:val="00843C63"/>
    <w:rsid w:val="00850E89"/>
    <w:rsid w:val="00863C92"/>
    <w:rsid w:val="00867A06"/>
    <w:rsid w:val="00873843"/>
    <w:rsid w:val="008B0130"/>
    <w:rsid w:val="008C4FAD"/>
    <w:rsid w:val="008D1B80"/>
    <w:rsid w:val="008D1D65"/>
    <w:rsid w:val="008D7D1D"/>
    <w:rsid w:val="008E0099"/>
    <w:rsid w:val="008E285E"/>
    <w:rsid w:val="008E7B5A"/>
    <w:rsid w:val="008F0021"/>
    <w:rsid w:val="00916181"/>
    <w:rsid w:val="00916214"/>
    <w:rsid w:val="00925BAF"/>
    <w:rsid w:val="009262E6"/>
    <w:rsid w:val="009502BD"/>
    <w:rsid w:val="0095110E"/>
    <w:rsid w:val="00956EE2"/>
    <w:rsid w:val="00975AAE"/>
    <w:rsid w:val="00976BCC"/>
    <w:rsid w:val="0097770B"/>
    <w:rsid w:val="00990B19"/>
    <w:rsid w:val="009A617E"/>
    <w:rsid w:val="009C7BBA"/>
    <w:rsid w:val="009D7064"/>
    <w:rsid w:val="009F08E8"/>
    <w:rsid w:val="00A125F6"/>
    <w:rsid w:val="00A51311"/>
    <w:rsid w:val="00A64841"/>
    <w:rsid w:val="00A7396A"/>
    <w:rsid w:val="00AA0844"/>
    <w:rsid w:val="00AB1AC4"/>
    <w:rsid w:val="00AC35C6"/>
    <w:rsid w:val="00AD281F"/>
    <w:rsid w:val="00AD646C"/>
    <w:rsid w:val="00AE1013"/>
    <w:rsid w:val="00AF3D21"/>
    <w:rsid w:val="00B0050B"/>
    <w:rsid w:val="00B14807"/>
    <w:rsid w:val="00B4271D"/>
    <w:rsid w:val="00B62C41"/>
    <w:rsid w:val="00B71167"/>
    <w:rsid w:val="00BA71A0"/>
    <w:rsid w:val="00BB5A82"/>
    <w:rsid w:val="00BF6A0F"/>
    <w:rsid w:val="00C00750"/>
    <w:rsid w:val="00C05969"/>
    <w:rsid w:val="00C1075F"/>
    <w:rsid w:val="00C225C7"/>
    <w:rsid w:val="00C42CE9"/>
    <w:rsid w:val="00C42F94"/>
    <w:rsid w:val="00C57F05"/>
    <w:rsid w:val="00C74703"/>
    <w:rsid w:val="00C8599F"/>
    <w:rsid w:val="00C9143A"/>
    <w:rsid w:val="00CA4155"/>
    <w:rsid w:val="00CB6DB9"/>
    <w:rsid w:val="00CC6BCB"/>
    <w:rsid w:val="00D00FD4"/>
    <w:rsid w:val="00D0319A"/>
    <w:rsid w:val="00D23621"/>
    <w:rsid w:val="00D261BD"/>
    <w:rsid w:val="00D557CE"/>
    <w:rsid w:val="00D77592"/>
    <w:rsid w:val="00D90400"/>
    <w:rsid w:val="00D9738E"/>
    <w:rsid w:val="00DA4C8D"/>
    <w:rsid w:val="00DC2B3D"/>
    <w:rsid w:val="00DE2CB7"/>
    <w:rsid w:val="00DF3FB8"/>
    <w:rsid w:val="00DF4EE5"/>
    <w:rsid w:val="00E14A60"/>
    <w:rsid w:val="00E24634"/>
    <w:rsid w:val="00E278D3"/>
    <w:rsid w:val="00E4423D"/>
    <w:rsid w:val="00E622EA"/>
    <w:rsid w:val="00E860F9"/>
    <w:rsid w:val="00E94D39"/>
    <w:rsid w:val="00EA1769"/>
    <w:rsid w:val="00EA52AD"/>
    <w:rsid w:val="00EB0D46"/>
    <w:rsid w:val="00EB6A0D"/>
    <w:rsid w:val="00EB6DE0"/>
    <w:rsid w:val="00EC000F"/>
    <w:rsid w:val="00F1474E"/>
    <w:rsid w:val="00F20AF7"/>
    <w:rsid w:val="00F46C06"/>
    <w:rsid w:val="00F54C03"/>
    <w:rsid w:val="00F675D7"/>
    <w:rsid w:val="00F747A8"/>
    <w:rsid w:val="00F76CCB"/>
    <w:rsid w:val="00F779A6"/>
    <w:rsid w:val="00F80FB9"/>
    <w:rsid w:val="00F91EF9"/>
    <w:rsid w:val="00F93DA9"/>
    <w:rsid w:val="00FA3AA2"/>
    <w:rsid w:val="00FB1314"/>
    <w:rsid w:val="00FB3B3D"/>
    <w:rsid w:val="00FB7C73"/>
    <w:rsid w:val="00FE4388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B5428"/>
  <w15:docId w15:val="{4AAFFDAC-8BBD-40A4-8E61-9EB79F5A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1A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248A5"/>
  </w:style>
  <w:style w:type="paragraph" w:styleId="Stopka">
    <w:name w:val="footer"/>
    <w:basedOn w:val="Normalny"/>
    <w:link w:val="StopkaZnak"/>
    <w:uiPriority w:val="99"/>
    <w:rsid w:val="00024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48A5"/>
  </w:style>
  <w:style w:type="paragraph" w:styleId="Akapitzlist">
    <w:name w:val="List Paragraph"/>
    <w:aliases w:val="Bullets"/>
    <w:basedOn w:val="Normalny"/>
    <w:link w:val="AkapitzlistZnak"/>
    <w:uiPriority w:val="34"/>
    <w:qFormat/>
    <w:rsid w:val="00E860F9"/>
    <w:pPr>
      <w:ind w:left="720"/>
    </w:pPr>
  </w:style>
  <w:style w:type="paragraph" w:styleId="Bezodstpw">
    <w:name w:val="No Spacing"/>
    <w:uiPriority w:val="99"/>
    <w:qFormat/>
    <w:rsid w:val="00E860F9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463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s Znak"/>
    <w:link w:val="Akapitzlist"/>
    <w:uiPriority w:val="99"/>
    <w:locked/>
    <w:rsid w:val="00850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A0F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7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2182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Klucz</dc:creator>
  <cp:lastModifiedBy>Danuta Klucz</cp:lastModifiedBy>
  <cp:revision>8</cp:revision>
  <cp:lastPrinted>2021-04-14T11:34:00Z</cp:lastPrinted>
  <dcterms:created xsi:type="dcterms:W3CDTF">2021-04-08T15:11:00Z</dcterms:created>
  <dcterms:modified xsi:type="dcterms:W3CDTF">2021-04-14T11:34:00Z</dcterms:modified>
</cp:coreProperties>
</file>